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273"/>
        <w:gridCol w:w="6804"/>
      </w:tblGrid>
      <w:tr w:rsidR="002914D6">
        <w:trPr>
          <w:jc w:val="center"/>
        </w:trPr>
        <w:tc>
          <w:tcPr>
            <w:tcW w:w="743" w:type="dxa"/>
          </w:tcPr>
          <w:p w:rsidR="002914D6" w:rsidRPr="00D340D1" w:rsidRDefault="00011212" w:rsidP="00D340D1">
            <w:pPr>
              <w:spacing w:line="360" w:lineRule="auto"/>
              <w:jc w:val="both"/>
              <w:rPr>
                <w:rFonts w:ascii="Arial" w:hAnsi="Arial"/>
                <w:b/>
                <w:bCs/>
              </w:rPr>
            </w:pPr>
            <w:bookmarkStart w:id="0" w:name="_GoBack"/>
            <w:bookmarkEnd w:id="0"/>
            <w:r w:rsidRPr="00D340D1">
              <w:rPr>
                <w:rFonts w:ascii="Arial" w:hAnsi="Arial" w:hint="cs"/>
                <w:b/>
                <w:bCs/>
                <w:rtl/>
              </w:rPr>
              <w:t>ב</w:t>
            </w:r>
            <w:r w:rsidRPr="00D340D1">
              <w:rPr>
                <w:rFonts w:ascii="Arial" w:hAnsi="Arial"/>
                <w:b/>
                <w:bCs/>
                <w:rtl/>
              </w:rPr>
              <w:t xml:space="preserve">פני </w:t>
            </w:r>
          </w:p>
        </w:tc>
        <w:tc>
          <w:tcPr>
            <w:tcW w:w="8077" w:type="dxa"/>
            <w:gridSpan w:val="2"/>
          </w:tcPr>
          <w:p w:rsidR="002914D6" w:rsidRPr="00D340D1" w:rsidRDefault="00011212" w:rsidP="00D340D1">
            <w:pPr>
              <w:spacing w:line="360" w:lineRule="auto"/>
              <w:rPr>
                <w:rFonts w:ascii="Arial" w:hAnsi="Arial"/>
                <w:b/>
                <w:bCs/>
                <w:rtl/>
              </w:rPr>
            </w:pPr>
            <w:r w:rsidRPr="00D340D1">
              <w:rPr>
                <w:rFonts w:ascii="Arial" w:hAnsi="Arial" w:hint="cs"/>
                <w:b/>
                <w:bCs/>
                <w:rtl/>
              </w:rPr>
              <w:t>כב' ה</w:t>
            </w:r>
            <w:sdt>
              <w:sdtPr>
                <w:rPr>
                  <w:rtl/>
                </w:rPr>
                <w:alias w:val="1574"/>
                <w:tag w:val="1574"/>
                <w:id w:val="490682261"/>
                <w:text w:multiLine="1"/>
              </w:sdtPr>
              <w:sdtEndPr/>
              <w:sdtContent>
                <w:r w:rsidRPr="00D340D1">
                  <w:rPr>
                    <w:rFonts w:ascii="Arial" w:hAnsi="Arial"/>
                    <w:b/>
                    <w:bCs/>
                    <w:rtl/>
                  </w:rPr>
                  <w:t>שופט, סגן הנשיאה</w:t>
                </w:r>
              </w:sdtContent>
            </w:sdt>
            <w:r w:rsidRPr="00D340D1">
              <w:rPr>
                <w:rFonts w:ascii="Arial" w:hAnsi="Arial" w:hint="cs"/>
                <w:b/>
                <w:bCs/>
                <w:rtl/>
              </w:rPr>
              <w:t xml:space="preserve">  </w:t>
            </w:r>
            <w:sdt>
              <w:sdtPr>
                <w:rPr>
                  <w:rtl/>
                </w:rPr>
                <w:alias w:val="1573"/>
                <w:tag w:val="1573"/>
                <w:id w:val="-1842311034"/>
                <w:text w:multiLine="1"/>
              </w:sdtPr>
              <w:sdtEndPr/>
              <w:sdtContent>
                <w:r w:rsidRPr="00D340D1">
                  <w:rPr>
                    <w:rFonts w:ascii="Arial" w:hAnsi="Arial"/>
                    <w:b/>
                    <w:bCs/>
                    <w:rtl/>
                  </w:rPr>
                  <w:t>יהורם שקד</w:t>
                </w:r>
              </w:sdtContent>
            </w:sdt>
          </w:p>
          <w:p w:rsidR="002914D6" w:rsidRPr="00D340D1" w:rsidRDefault="002914D6" w:rsidP="00D340D1">
            <w:pPr>
              <w:spacing w:line="360" w:lineRule="auto"/>
              <w:rPr>
                <w:rFonts w:ascii="Arial" w:hAnsi="Arial" w:cs="FrankRuehl"/>
                <w:highlight w:val="yellow"/>
              </w:rPr>
            </w:pPr>
          </w:p>
        </w:tc>
      </w:tr>
      <w:tr w:rsidR="002914D6" w:rsidTr="00D340D1">
        <w:trPr>
          <w:jc w:val="center"/>
        </w:trPr>
        <w:sdt>
          <w:sdtPr>
            <w:rPr>
              <w:rFonts w:ascii="Arial" w:hAnsi="Arial"/>
              <w:b/>
              <w:bCs/>
              <w:noProof w:val="0"/>
            </w:rPr>
            <w:alias w:val="1180"/>
            <w:tag w:val="1180"/>
            <w:id w:val="108787784"/>
            <w:placeholder>
              <w:docPart w:val="31A55F6979184A8EB6F607B634EEB644"/>
            </w:placeholder>
            <w:text w:multiLine="1"/>
          </w:sdtPr>
          <w:sdtEndPr/>
          <w:sdtContent>
            <w:tc>
              <w:tcPr>
                <w:tcW w:w="2016" w:type="dxa"/>
                <w:gridSpan w:val="2"/>
              </w:tcPr>
              <w:p w:rsidR="002914D6" w:rsidRPr="00D340D1" w:rsidRDefault="00D340D1" w:rsidP="00AA6CC6">
                <w:pPr>
                  <w:bidi w:val="0"/>
                  <w:jc w:val="right"/>
                  <w:rPr>
                    <w:rFonts w:ascii="Arial" w:hAnsi="Arial"/>
                    <w:b/>
                    <w:bCs/>
                    <w:noProof w:val="0"/>
                    <w:rtl/>
                  </w:rPr>
                </w:pPr>
                <w:r w:rsidRPr="00D340D1">
                  <w:rPr>
                    <w:rFonts w:ascii="Arial" w:hAnsi="Arial" w:hint="cs"/>
                    <w:b/>
                    <w:bCs/>
                    <w:noProof w:val="0"/>
                    <w:rtl/>
                  </w:rPr>
                  <w:t>ה</w:t>
                </w:r>
                <w:r w:rsidR="001C55B5" w:rsidRPr="00D340D1">
                  <w:rPr>
                    <w:rFonts w:ascii="Arial" w:hAnsi="Arial" w:hint="cs"/>
                    <w:b/>
                    <w:bCs/>
                    <w:noProof w:val="0"/>
                    <w:rtl/>
                  </w:rPr>
                  <w:t>תובעת</w:t>
                </w:r>
                <w:r w:rsidRPr="00D340D1">
                  <w:rPr>
                    <w:rFonts w:ascii="Arial" w:hAnsi="Arial" w:hint="cs"/>
                    <w:b/>
                    <w:bCs/>
                    <w:noProof w:val="0"/>
                    <w:rtl/>
                  </w:rPr>
                  <w:t>:</w:t>
                </w:r>
              </w:p>
            </w:tc>
          </w:sdtContent>
        </w:sdt>
        <w:tc>
          <w:tcPr>
            <w:tcW w:w="6804" w:type="dxa"/>
          </w:tcPr>
          <w:p w:rsidR="002914D6" w:rsidRPr="00D340D1" w:rsidRDefault="009C5A3D" w:rsidP="000A1F4B">
            <w:pPr>
              <w:rPr>
                <w:b/>
                <w:bCs/>
                <w:noProof w:val="0"/>
                <w:rtl/>
              </w:rPr>
            </w:pPr>
            <w:sdt>
              <w:sdtPr>
                <w:rPr>
                  <w:rFonts w:hint="cs"/>
                  <w:b/>
                  <w:bCs/>
                  <w:noProof w:val="0"/>
                  <w:rtl/>
                </w:rPr>
                <w:alias w:val="1478"/>
                <w:tag w:val="1478"/>
                <w:id w:val="614022805"/>
                <w:text w:multiLine="1"/>
              </w:sdtPr>
              <w:sdtEndPr/>
              <w:sdtContent>
                <w:r w:rsidR="000A1F4B">
                  <w:rPr>
                    <w:rStyle w:val="ac"/>
                    <w:rFonts w:hint="cs"/>
                    <w:b/>
                    <w:bCs/>
                    <w:color w:val="auto"/>
                    <w:rtl/>
                  </w:rPr>
                  <w:t>פלונית</w:t>
                </w:r>
              </w:sdtContent>
            </w:sdt>
            <w:sdt>
              <w:sdtPr>
                <w:rPr>
                  <w:rFonts w:hint="cs"/>
                  <w:b/>
                  <w:bCs/>
                  <w:noProof w:val="0"/>
                  <w:rtl/>
                </w:rPr>
                <w:alias w:val="2316"/>
                <w:tag w:val="2316"/>
                <w:id w:val="1507024034"/>
                <w:showingPlcHdr/>
                <w:text w:multiLine="1"/>
              </w:sdtPr>
              <w:sdtEndPr/>
              <w:sdtContent>
                <w:r w:rsidR="000A1F4B">
                  <w:rPr>
                    <w:b/>
                    <w:bCs/>
                    <w:noProof w:val="0"/>
                    <w:rtl/>
                  </w:rPr>
                  <w:t xml:space="preserve">     </w:t>
                </w:r>
              </w:sdtContent>
            </w:sdt>
          </w:p>
          <w:p w:rsidR="00D340D1" w:rsidRPr="00D340D1" w:rsidRDefault="00D340D1" w:rsidP="00AA6CC6">
            <w:pPr>
              <w:rPr>
                <w:b/>
                <w:bCs/>
                <w:noProof w:val="0"/>
              </w:rPr>
            </w:pPr>
            <w:r w:rsidRPr="00D340D1">
              <w:rPr>
                <w:rFonts w:hint="cs"/>
                <w:b/>
                <w:bCs/>
                <w:noProof w:val="0"/>
                <w:rtl/>
              </w:rPr>
              <w:t>ע"י ב"כ עו"ד יעקב זיו</w:t>
            </w:r>
          </w:p>
        </w:tc>
      </w:tr>
      <w:tr w:rsidR="002914D6">
        <w:trPr>
          <w:jc w:val="center"/>
        </w:trPr>
        <w:tc>
          <w:tcPr>
            <w:tcW w:w="8820" w:type="dxa"/>
            <w:gridSpan w:val="3"/>
          </w:tcPr>
          <w:p w:rsidR="00AA6CC6" w:rsidRDefault="00AA6CC6" w:rsidP="00AA6CC6">
            <w:pPr>
              <w:rPr>
                <w:rFonts w:ascii="Arial" w:hAnsi="Arial"/>
                <w:b/>
                <w:bCs/>
                <w:noProof w:val="0"/>
                <w:rtl/>
              </w:rPr>
            </w:pPr>
          </w:p>
          <w:p w:rsidR="002914D6" w:rsidRDefault="00631D0D" w:rsidP="00AA6CC6">
            <w:pPr>
              <w:rPr>
                <w:rFonts w:ascii="Arial" w:hAnsi="Arial"/>
                <w:b/>
                <w:bCs/>
                <w:noProof w:val="0"/>
                <w:rtl/>
              </w:rPr>
            </w:pPr>
            <w:r w:rsidRPr="00D340D1">
              <w:rPr>
                <w:rFonts w:ascii="Arial" w:hAnsi="Arial" w:hint="cs"/>
                <w:b/>
                <w:bCs/>
                <w:noProof w:val="0"/>
                <w:rtl/>
              </w:rPr>
              <w:t xml:space="preserve">                      </w:t>
            </w:r>
            <w:r w:rsidR="00D340D1" w:rsidRPr="00D340D1">
              <w:rPr>
                <w:rFonts w:ascii="Arial" w:hAnsi="Arial" w:hint="cs"/>
                <w:b/>
                <w:bCs/>
                <w:noProof w:val="0"/>
                <w:rtl/>
              </w:rPr>
              <w:t xml:space="preserve">            </w:t>
            </w:r>
            <w:r w:rsidRPr="00D340D1">
              <w:rPr>
                <w:rFonts w:ascii="Arial" w:hAnsi="Arial" w:hint="cs"/>
                <w:b/>
                <w:bCs/>
                <w:noProof w:val="0"/>
                <w:rtl/>
              </w:rPr>
              <w:t xml:space="preserve">  </w:t>
            </w:r>
            <w:r w:rsidR="00011212" w:rsidRPr="00D340D1">
              <w:rPr>
                <w:rFonts w:ascii="Arial" w:hAnsi="Arial"/>
                <w:b/>
                <w:bCs/>
                <w:noProof w:val="0"/>
                <w:rtl/>
              </w:rPr>
              <w:t>נגד</w:t>
            </w:r>
          </w:p>
          <w:p w:rsidR="00AA6CC6" w:rsidRPr="00D340D1" w:rsidRDefault="00AA6CC6" w:rsidP="00AA6CC6">
            <w:pPr>
              <w:rPr>
                <w:rFonts w:ascii="Arial" w:hAnsi="Arial"/>
                <w:b/>
                <w:bCs/>
                <w:noProof w:val="0"/>
              </w:rPr>
            </w:pPr>
          </w:p>
        </w:tc>
      </w:tr>
      <w:tr w:rsidR="002914D6" w:rsidTr="00D340D1">
        <w:trPr>
          <w:jc w:val="center"/>
        </w:trPr>
        <w:tc>
          <w:tcPr>
            <w:tcW w:w="2016" w:type="dxa"/>
            <w:gridSpan w:val="2"/>
          </w:tcPr>
          <w:p w:rsidR="002914D6" w:rsidRPr="00D340D1" w:rsidRDefault="009C5A3D" w:rsidP="00AA6CC6">
            <w:pPr>
              <w:rPr>
                <w:rFonts w:ascii="Arial" w:hAnsi="Arial"/>
                <w:b/>
                <w:bCs/>
                <w:noProof w:val="0"/>
              </w:rPr>
            </w:pPr>
            <w:sdt>
              <w:sdtPr>
                <w:rPr>
                  <w:rtl/>
                </w:rPr>
                <w:alias w:val="1184"/>
                <w:tag w:val="1184"/>
                <w:id w:val="1218863978"/>
                <w:text w:multiLine="1"/>
              </w:sdtPr>
              <w:sdtEndPr/>
              <w:sdtContent>
                <w:r w:rsidR="00D340D1" w:rsidRPr="00D340D1">
                  <w:rPr>
                    <w:rFonts w:ascii="Arial" w:hAnsi="Arial" w:hint="cs"/>
                    <w:b/>
                    <w:bCs/>
                    <w:noProof w:val="0"/>
                    <w:rtl/>
                  </w:rPr>
                  <w:t>ה</w:t>
                </w:r>
                <w:r w:rsidR="001C55B5" w:rsidRPr="00D340D1">
                  <w:rPr>
                    <w:rFonts w:ascii="Arial" w:hAnsi="Arial" w:hint="cs"/>
                    <w:b/>
                    <w:bCs/>
                    <w:noProof w:val="0"/>
                    <w:rtl/>
                  </w:rPr>
                  <w:t>נתבעים</w:t>
                </w:r>
                <w:r w:rsidR="00D340D1" w:rsidRPr="00D340D1">
                  <w:rPr>
                    <w:rFonts w:ascii="Arial" w:hAnsi="Arial" w:hint="cs"/>
                    <w:b/>
                    <w:bCs/>
                    <w:noProof w:val="0"/>
                    <w:rtl/>
                  </w:rPr>
                  <w:t>:</w:t>
                </w:r>
              </w:sdtContent>
            </w:sdt>
          </w:p>
        </w:tc>
        <w:tc>
          <w:tcPr>
            <w:tcW w:w="6804" w:type="dxa"/>
          </w:tcPr>
          <w:p w:rsidR="002914D6" w:rsidRPr="00D340D1" w:rsidRDefault="009C5A3D" w:rsidP="000A1F4B">
            <w:pPr>
              <w:rPr>
                <w:b/>
                <w:bCs/>
                <w:noProof w:val="0"/>
                <w:rtl/>
              </w:rPr>
            </w:pPr>
            <w:sdt>
              <w:sdtPr>
                <w:rPr>
                  <w:b/>
                  <w:bCs/>
                  <w:noProof w:val="0"/>
                  <w:rtl/>
                </w:rPr>
                <w:alias w:val="1571"/>
                <w:tag w:val="1571"/>
                <w:id w:val="715625760"/>
                <w:text w:multiLine="1"/>
              </w:sdtPr>
              <w:sdtEndPr/>
              <w:sdtContent>
                <w:r w:rsidR="00BD5B6B" w:rsidRPr="00D340D1">
                  <w:rPr>
                    <w:rStyle w:val="ac"/>
                    <w:b/>
                    <w:bCs/>
                    <w:color w:val="auto"/>
                    <w:rtl/>
                  </w:rPr>
                  <w:t>1</w:t>
                </w:r>
              </w:sdtContent>
            </w:sdt>
            <w:r w:rsidR="00BD5B6B" w:rsidRPr="00D340D1">
              <w:rPr>
                <w:rFonts w:hint="cs"/>
                <w:b/>
                <w:bCs/>
                <w:noProof w:val="0"/>
                <w:rtl/>
              </w:rPr>
              <w:t xml:space="preserve">. </w:t>
            </w:r>
            <w:sdt>
              <w:sdtPr>
                <w:rPr>
                  <w:rFonts w:hint="cs"/>
                  <w:b/>
                  <w:bCs/>
                  <w:noProof w:val="0"/>
                  <w:rtl/>
                </w:rPr>
                <w:alias w:val="1486"/>
                <w:tag w:val="1486"/>
                <w:id w:val="-757287725"/>
                <w:text w:multiLine="1"/>
              </w:sdtPr>
              <w:sdtEndPr/>
              <w:sdtContent>
                <w:r w:rsidR="000A1F4B">
                  <w:rPr>
                    <w:rStyle w:val="ac"/>
                    <w:rFonts w:hint="cs"/>
                    <w:b/>
                    <w:bCs/>
                    <w:color w:val="auto"/>
                    <w:rtl/>
                  </w:rPr>
                  <w:t>אלמונית</w:t>
                </w:r>
              </w:sdtContent>
            </w:sdt>
            <w:sdt>
              <w:sdtPr>
                <w:rPr>
                  <w:b/>
                  <w:bCs/>
                  <w:noProof w:val="0"/>
                  <w:rtl/>
                </w:rPr>
                <w:alias w:val="2318"/>
                <w:tag w:val="2318"/>
                <w:id w:val="231825599"/>
                <w:showingPlcHdr/>
                <w:text w:multiLine="1"/>
              </w:sdtPr>
              <w:sdtEndPr/>
              <w:sdtContent>
                <w:r w:rsidR="000A1F4B">
                  <w:rPr>
                    <w:b/>
                    <w:bCs/>
                    <w:noProof w:val="0"/>
                    <w:rtl/>
                  </w:rPr>
                  <w:t xml:space="preserve">     </w:t>
                </w:r>
              </w:sdtContent>
            </w:sdt>
          </w:p>
          <w:p w:rsidR="002914D6" w:rsidRPr="00D340D1" w:rsidRDefault="009C5A3D" w:rsidP="000A1F4B">
            <w:pPr>
              <w:rPr>
                <w:b/>
                <w:bCs/>
                <w:noProof w:val="0"/>
                <w:rtl/>
              </w:rPr>
            </w:pPr>
            <w:sdt>
              <w:sdtPr>
                <w:rPr>
                  <w:b/>
                  <w:bCs/>
                  <w:noProof w:val="0"/>
                  <w:rtl/>
                </w:rPr>
                <w:alias w:val="1571"/>
                <w:tag w:val="1571"/>
                <w:id w:val="1571774001"/>
                <w:text w:multiLine="1"/>
              </w:sdtPr>
              <w:sdtEndPr/>
              <w:sdtContent>
                <w:r w:rsidR="00631D0D" w:rsidRPr="00D340D1">
                  <w:rPr>
                    <w:rStyle w:val="ac"/>
                    <w:rFonts w:hint="cs"/>
                    <w:b/>
                    <w:bCs/>
                    <w:color w:val="auto"/>
                    <w:rtl/>
                  </w:rPr>
                  <w:t>2</w:t>
                </w:r>
              </w:sdtContent>
            </w:sdt>
            <w:r w:rsidR="00BD5B6B" w:rsidRPr="00D340D1">
              <w:rPr>
                <w:rFonts w:hint="cs"/>
                <w:b/>
                <w:bCs/>
                <w:noProof w:val="0"/>
                <w:rtl/>
              </w:rPr>
              <w:t xml:space="preserve">. </w:t>
            </w:r>
            <w:r w:rsidR="000A1F4B">
              <w:rPr>
                <w:rFonts w:hint="cs"/>
                <w:b/>
                <w:bCs/>
                <w:noProof w:val="0"/>
                <w:rtl/>
              </w:rPr>
              <w:t>אלמוני</w:t>
            </w:r>
            <w:sdt>
              <w:sdtPr>
                <w:rPr>
                  <w:b/>
                  <w:bCs/>
                  <w:noProof w:val="0"/>
                  <w:rtl/>
                </w:rPr>
                <w:alias w:val="2318"/>
                <w:tag w:val="2318"/>
                <w:id w:val="51595483"/>
                <w:showingPlcHdr/>
                <w:text w:multiLine="1"/>
              </w:sdtPr>
              <w:sdtEndPr/>
              <w:sdtContent>
                <w:r w:rsidR="000A1F4B">
                  <w:rPr>
                    <w:b/>
                    <w:bCs/>
                    <w:noProof w:val="0"/>
                    <w:rtl/>
                  </w:rPr>
                  <w:t xml:space="preserve">     </w:t>
                </w:r>
              </w:sdtContent>
            </w:sdt>
          </w:p>
          <w:p w:rsidR="002914D6" w:rsidRPr="00D340D1" w:rsidRDefault="00631D0D" w:rsidP="000A1F4B">
            <w:pPr>
              <w:rPr>
                <w:b/>
                <w:bCs/>
                <w:noProof w:val="0"/>
                <w:rtl/>
              </w:rPr>
            </w:pPr>
            <w:r w:rsidRPr="00D340D1">
              <w:rPr>
                <w:rFonts w:hint="cs"/>
                <w:b/>
                <w:bCs/>
                <w:noProof w:val="0"/>
                <w:rtl/>
              </w:rPr>
              <w:t xml:space="preserve">3. </w:t>
            </w:r>
            <w:sdt>
              <w:sdtPr>
                <w:rPr>
                  <w:rFonts w:hint="cs"/>
                  <w:b/>
                  <w:bCs/>
                  <w:noProof w:val="0"/>
                  <w:rtl/>
                </w:rPr>
                <w:alias w:val="1486"/>
                <w:tag w:val="1486"/>
                <w:id w:val="-1193528898"/>
                <w:text w:multiLine="1"/>
              </w:sdtPr>
              <w:sdtEndPr/>
              <w:sdtContent>
                <w:r w:rsidR="000A1F4B">
                  <w:rPr>
                    <w:rStyle w:val="ac"/>
                    <w:rFonts w:hint="cs"/>
                    <w:b/>
                    <w:bCs/>
                    <w:color w:val="auto"/>
                    <w:rtl/>
                  </w:rPr>
                  <w:t>פלמונית</w:t>
                </w:r>
              </w:sdtContent>
            </w:sdt>
            <w:sdt>
              <w:sdtPr>
                <w:rPr>
                  <w:b/>
                  <w:bCs/>
                  <w:noProof w:val="0"/>
                  <w:rtl/>
                </w:rPr>
                <w:alias w:val="2318"/>
                <w:tag w:val="2318"/>
                <w:id w:val="-1173019150"/>
                <w:showingPlcHdr/>
                <w:text w:multiLine="1"/>
              </w:sdtPr>
              <w:sdtEndPr/>
              <w:sdtContent>
                <w:r w:rsidR="000A1F4B">
                  <w:rPr>
                    <w:b/>
                    <w:bCs/>
                    <w:noProof w:val="0"/>
                    <w:rtl/>
                  </w:rPr>
                  <w:t xml:space="preserve">     </w:t>
                </w:r>
              </w:sdtContent>
            </w:sdt>
          </w:p>
          <w:p w:rsidR="00D340D1" w:rsidRPr="00D340D1" w:rsidRDefault="00D340D1" w:rsidP="00AA6CC6">
            <w:pPr>
              <w:rPr>
                <w:b/>
                <w:bCs/>
                <w:noProof w:val="0"/>
                <w:rtl/>
              </w:rPr>
            </w:pPr>
            <w:r w:rsidRPr="00D340D1">
              <w:rPr>
                <w:rFonts w:hint="cs"/>
                <w:b/>
                <w:bCs/>
                <w:noProof w:val="0"/>
                <w:rtl/>
              </w:rPr>
              <w:t>ע"י ב"כ עו"ד רומי קנבל</w:t>
            </w:r>
          </w:p>
        </w:tc>
      </w:tr>
    </w:tbl>
    <w:p w:rsidR="002914D6" w:rsidRDefault="002914D6" w:rsidP="00D340D1">
      <w:pPr>
        <w:spacing w:line="360" w:lineRule="auto"/>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631D0D" w:rsidRDefault="00631D0D" w:rsidP="00D340D1">
            <w:pPr>
              <w:bidi w:val="0"/>
              <w:spacing w:line="360" w:lineRule="auto"/>
              <w:jc w:val="center"/>
              <w:rPr>
                <w:rFonts w:ascii="Arial" w:hAnsi="Arial"/>
                <w:b/>
                <w:bCs/>
                <w:noProof w:val="0"/>
                <w:sz w:val="28"/>
                <w:szCs w:val="28"/>
                <w:u w:val="single"/>
              </w:rPr>
            </w:pPr>
          </w:p>
          <w:p w:rsidR="002914D6" w:rsidRDefault="00011212" w:rsidP="00D340D1">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AA6CC6" w:rsidRDefault="00AA6CC6" w:rsidP="00D340D1">
      <w:pPr>
        <w:bidi/>
        <w:spacing w:line="360" w:lineRule="auto"/>
        <w:jc w:val="both"/>
        <w:rPr>
          <w:rFonts w:ascii="David" w:hAnsi="David"/>
        </w:rPr>
      </w:pPr>
    </w:p>
    <w:p w:rsidR="00631D0D" w:rsidRDefault="00631D0D" w:rsidP="00AA6CC6">
      <w:pPr>
        <w:bidi/>
        <w:spacing w:line="360" w:lineRule="auto"/>
        <w:jc w:val="both"/>
        <w:rPr>
          <w:rFonts w:ascii="David" w:hAnsi="David"/>
          <w:rtl/>
        </w:rPr>
      </w:pPr>
      <w:r>
        <w:rPr>
          <w:rFonts w:ascii="David" w:hAnsi="David"/>
          <w:rtl/>
        </w:rPr>
        <w:t xml:space="preserve">האם יש ליתן צו לקיום צוואה </w:t>
      </w:r>
      <w:r w:rsidR="00AA6CC6">
        <w:rPr>
          <w:rFonts w:ascii="David" w:hAnsi="David" w:hint="cs"/>
          <w:rtl/>
        </w:rPr>
        <w:t xml:space="preserve">לטובת בת זוגו של המנוח או שמא יש לקבל את </w:t>
      </w:r>
      <w:r>
        <w:rPr>
          <w:rFonts w:ascii="David" w:hAnsi="David"/>
          <w:rtl/>
        </w:rPr>
        <w:t xml:space="preserve">התנגדות שלושת ילדיו? זו השאלה העומדת להכרעתי. </w:t>
      </w:r>
    </w:p>
    <w:p w:rsidR="00AA6CC6" w:rsidRPr="00AA6CC6" w:rsidRDefault="00AA6CC6" w:rsidP="00AA6CC6">
      <w:pPr>
        <w:bidi/>
        <w:spacing w:line="360" w:lineRule="auto"/>
        <w:jc w:val="both"/>
        <w:rPr>
          <w:rFonts w:ascii="David" w:hAnsi="David"/>
          <w:sz w:val="16"/>
          <w:szCs w:val="16"/>
          <w:rtl/>
        </w:rPr>
      </w:pPr>
    </w:p>
    <w:p w:rsidR="00631D0D" w:rsidRDefault="00631D0D" w:rsidP="00D340D1">
      <w:pPr>
        <w:bidi/>
        <w:spacing w:line="360" w:lineRule="auto"/>
        <w:jc w:val="both"/>
        <w:rPr>
          <w:rFonts w:ascii="David" w:hAnsi="David"/>
          <w:b/>
          <w:bCs/>
          <w:rtl/>
        </w:rPr>
      </w:pPr>
      <w:r>
        <w:rPr>
          <w:rFonts w:ascii="David" w:hAnsi="David"/>
          <w:b/>
          <w:bCs/>
          <w:rtl/>
        </w:rPr>
        <w:t>א' - העובדות הצריכות לעניין:</w:t>
      </w:r>
    </w:p>
    <w:p w:rsidR="00AA6CC6" w:rsidRPr="00AA6CC6" w:rsidRDefault="00AA6CC6" w:rsidP="00AA6CC6">
      <w:pPr>
        <w:bidi/>
        <w:spacing w:line="360" w:lineRule="auto"/>
        <w:jc w:val="both"/>
        <w:rPr>
          <w:rFonts w:ascii="David" w:hAnsi="David"/>
          <w:b/>
          <w:bCs/>
          <w:sz w:val="16"/>
          <w:szCs w:val="16"/>
          <w:rtl/>
        </w:rPr>
      </w:pPr>
    </w:p>
    <w:p w:rsidR="00631D0D" w:rsidRDefault="000A1F4B" w:rsidP="000A1F4B">
      <w:pPr>
        <w:pStyle w:val="ad"/>
        <w:numPr>
          <w:ilvl w:val="0"/>
          <w:numId w:val="1"/>
        </w:numPr>
        <w:bidi/>
        <w:spacing w:line="360" w:lineRule="auto"/>
        <w:ind w:left="567" w:hanging="561"/>
        <w:contextualSpacing w:val="0"/>
        <w:jc w:val="both"/>
        <w:rPr>
          <w:rFonts w:ascii="David" w:hAnsi="David"/>
        </w:rPr>
      </w:pPr>
      <w:r>
        <w:rPr>
          <w:rFonts w:ascii="David" w:hAnsi="David" w:hint="cs"/>
          <w:rtl/>
        </w:rPr>
        <w:t xml:space="preserve">המנוח </w:t>
      </w:r>
      <w:r w:rsidR="00631D0D">
        <w:rPr>
          <w:rFonts w:ascii="David" w:hAnsi="David"/>
          <w:rtl/>
        </w:rPr>
        <w:t>הל</w:t>
      </w:r>
      <w:r w:rsidR="00AA6CC6">
        <w:rPr>
          <w:rFonts w:ascii="David" w:hAnsi="David" w:hint="cs"/>
          <w:rtl/>
        </w:rPr>
        <w:t>"ע</w:t>
      </w:r>
      <w:r w:rsidR="00631D0D">
        <w:rPr>
          <w:rFonts w:ascii="David" w:hAnsi="David"/>
          <w:rtl/>
        </w:rPr>
        <w:t xml:space="preserve"> ביום 20.3.2021, כאשר הוא מותיר אחריו את בת זוגו</w:t>
      </w:r>
      <w:r w:rsidR="00AA6CC6">
        <w:rPr>
          <w:rFonts w:ascii="David" w:hAnsi="David" w:hint="cs"/>
          <w:rtl/>
        </w:rPr>
        <w:t>, היא</w:t>
      </w:r>
      <w:r w:rsidR="00631D0D">
        <w:rPr>
          <w:rFonts w:ascii="David" w:hAnsi="David"/>
          <w:rtl/>
        </w:rPr>
        <w:t xml:space="preserve"> התובעת (להלן גם: </w:t>
      </w:r>
      <w:r w:rsidR="00631D0D" w:rsidRPr="00AA6CC6">
        <w:rPr>
          <w:rFonts w:ascii="Miriam" w:hAnsi="Miriam" w:cs="Miriam"/>
          <w:b/>
          <w:bCs/>
          <w:sz w:val="22"/>
          <w:szCs w:val="22"/>
          <w:rtl/>
        </w:rPr>
        <w:t>האשה</w:t>
      </w:r>
      <w:r w:rsidR="00631D0D">
        <w:rPr>
          <w:rFonts w:ascii="David" w:hAnsi="David"/>
          <w:rtl/>
        </w:rPr>
        <w:t xml:space="preserve">) ואת שלושת ילדיו שנולדו מנישואיו הקודמים (להלן גם: </w:t>
      </w:r>
      <w:r w:rsidR="00631D0D" w:rsidRPr="00AA6CC6">
        <w:rPr>
          <w:rFonts w:ascii="Miriam" w:hAnsi="Miriam" w:cs="Miriam"/>
          <w:b/>
          <w:bCs/>
          <w:sz w:val="22"/>
          <w:szCs w:val="22"/>
          <w:rtl/>
        </w:rPr>
        <w:t>הילדים</w:t>
      </w:r>
      <w:r w:rsidR="00631D0D">
        <w:rPr>
          <w:rFonts w:ascii="David" w:hAnsi="David"/>
          <w:rtl/>
        </w:rPr>
        <w:t xml:space="preserve">). </w:t>
      </w:r>
    </w:p>
    <w:p w:rsidR="00AA6CC6" w:rsidRPr="00AA6CC6" w:rsidRDefault="00AA6CC6" w:rsidP="00AA6CC6">
      <w:pPr>
        <w:pStyle w:val="ad"/>
        <w:bidi/>
        <w:spacing w:line="360" w:lineRule="auto"/>
        <w:ind w:left="567"/>
        <w:contextualSpacing w:val="0"/>
        <w:jc w:val="both"/>
        <w:rPr>
          <w:rFonts w:ascii="David" w:hAnsi="David"/>
          <w:sz w:val="16"/>
          <w:szCs w:val="16"/>
        </w:rPr>
      </w:pPr>
    </w:p>
    <w:p w:rsidR="00631D0D" w:rsidRDefault="00631D0D" w:rsidP="00AA6CC6">
      <w:pPr>
        <w:pStyle w:val="ad"/>
        <w:numPr>
          <w:ilvl w:val="0"/>
          <w:numId w:val="1"/>
        </w:numPr>
        <w:bidi/>
        <w:spacing w:line="360" w:lineRule="auto"/>
        <w:ind w:left="567" w:hanging="561"/>
        <w:contextualSpacing w:val="0"/>
        <w:jc w:val="both"/>
        <w:rPr>
          <w:rFonts w:ascii="David" w:hAnsi="David"/>
        </w:rPr>
      </w:pPr>
      <w:r>
        <w:rPr>
          <w:rFonts w:ascii="David" w:hAnsi="David"/>
          <w:rtl/>
        </w:rPr>
        <w:t>בהתאם לראיות שהוגשו, המנוח ערך שתי צוואות:</w:t>
      </w:r>
    </w:p>
    <w:p w:rsidR="00AA6CC6" w:rsidRPr="00AA6CC6" w:rsidRDefault="00AA6CC6" w:rsidP="00AA6CC6">
      <w:pPr>
        <w:pStyle w:val="ad"/>
        <w:bidi/>
        <w:rPr>
          <w:rFonts w:ascii="David" w:hAnsi="David"/>
          <w:sz w:val="16"/>
          <w:szCs w:val="16"/>
          <w:rtl/>
        </w:rPr>
      </w:pPr>
    </w:p>
    <w:p w:rsidR="00631D0D" w:rsidRDefault="00631D0D" w:rsidP="00D340D1">
      <w:pPr>
        <w:pStyle w:val="ad"/>
        <w:numPr>
          <w:ilvl w:val="0"/>
          <w:numId w:val="2"/>
        </w:numPr>
        <w:bidi/>
        <w:spacing w:line="360" w:lineRule="auto"/>
        <w:ind w:hanging="357"/>
        <w:contextualSpacing w:val="0"/>
        <w:jc w:val="both"/>
        <w:rPr>
          <w:rFonts w:ascii="David" w:hAnsi="David"/>
        </w:rPr>
      </w:pPr>
      <w:r>
        <w:rPr>
          <w:rFonts w:ascii="David" w:hAnsi="David"/>
          <w:rtl/>
        </w:rPr>
        <w:t xml:space="preserve">הראשונה – צוואה בעדים מיום 16.4.2002 בה ציווה את עזבונו לילדים בחלקים שווים  (להלן: </w:t>
      </w:r>
      <w:r w:rsidRPr="00AA6CC6">
        <w:rPr>
          <w:rFonts w:ascii="Miriam" w:hAnsi="Miriam" w:cs="Miriam"/>
          <w:b/>
          <w:bCs/>
          <w:sz w:val="22"/>
          <w:szCs w:val="22"/>
          <w:rtl/>
        </w:rPr>
        <w:t>הצוואה המוקדמת</w:t>
      </w:r>
      <w:r>
        <w:rPr>
          <w:rFonts w:ascii="David" w:hAnsi="David"/>
          <w:rtl/>
        </w:rPr>
        <w:t>).</w:t>
      </w:r>
    </w:p>
    <w:p w:rsidR="00631D0D" w:rsidRDefault="00631D0D" w:rsidP="00D340D1">
      <w:pPr>
        <w:pStyle w:val="ad"/>
        <w:numPr>
          <w:ilvl w:val="0"/>
          <w:numId w:val="2"/>
        </w:numPr>
        <w:bidi/>
        <w:spacing w:line="360" w:lineRule="auto"/>
        <w:ind w:left="1083" w:hanging="357"/>
        <w:contextualSpacing w:val="0"/>
        <w:jc w:val="both"/>
        <w:rPr>
          <w:rFonts w:ascii="David" w:hAnsi="David"/>
        </w:rPr>
      </w:pPr>
      <w:r>
        <w:rPr>
          <w:rFonts w:ascii="David" w:hAnsi="David"/>
          <w:rtl/>
        </w:rPr>
        <w:t>השנייה – צוואה בפני רשות (הנוטריון, עו"ד רונן אושרי) מיום 3.2.2021, בה ציווה את עזבונו לאשה (להלן:</w:t>
      </w:r>
      <w:r w:rsidRPr="00D340D1">
        <w:rPr>
          <w:rFonts w:ascii="David" w:hAnsi="David"/>
          <w:rtl/>
        </w:rPr>
        <w:t xml:space="preserve"> </w:t>
      </w:r>
      <w:r w:rsidRPr="00AA6CC6">
        <w:rPr>
          <w:rFonts w:ascii="Miriam" w:hAnsi="Miriam" w:cs="Miriam"/>
          <w:b/>
          <w:bCs/>
          <w:sz w:val="22"/>
          <w:szCs w:val="22"/>
          <w:rtl/>
        </w:rPr>
        <w:t>הצוואה</w:t>
      </w:r>
      <w:r>
        <w:rPr>
          <w:rFonts w:ascii="David" w:hAnsi="David"/>
          <w:rtl/>
        </w:rPr>
        <w:t>).</w:t>
      </w:r>
    </w:p>
    <w:p w:rsidR="00AA6CC6" w:rsidRPr="00AA6CC6" w:rsidRDefault="00AA6CC6" w:rsidP="00AA6CC6">
      <w:pPr>
        <w:pStyle w:val="ad"/>
        <w:bidi/>
        <w:spacing w:line="360" w:lineRule="auto"/>
        <w:ind w:left="1083"/>
        <w:contextualSpacing w:val="0"/>
        <w:jc w:val="both"/>
        <w:rPr>
          <w:rFonts w:ascii="David" w:hAnsi="David"/>
          <w:sz w:val="16"/>
          <w:szCs w:val="16"/>
        </w:rPr>
      </w:pPr>
    </w:p>
    <w:p w:rsidR="00631D0D" w:rsidRDefault="00B8357B" w:rsidP="00B8357B">
      <w:pPr>
        <w:pStyle w:val="ad"/>
        <w:numPr>
          <w:ilvl w:val="0"/>
          <w:numId w:val="1"/>
        </w:numPr>
        <w:bidi/>
        <w:spacing w:line="360" w:lineRule="auto"/>
        <w:ind w:left="567" w:hanging="561"/>
        <w:contextualSpacing w:val="0"/>
        <w:jc w:val="both"/>
        <w:rPr>
          <w:rFonts w:ascii="David" w:hAnsi="David"/>
        </w:rPr>
      </w:pPr>
      <w:r>
        <w:rPr>
          <w:rFonts w:ascii="David" w:hAnsi="David" w:hint="cs"/>
          <w:rtl/>
        </w:rPr>
        <w:t>ביום 23.5.2021</w:t>
      </w:r>
      <w:r w:rsidR="00631D0D">
        <w:rPr>
          <w:rFonts w:ascii="David" w:hAnsi="David"/>
          <w:rtl/>
        </w:rPr>
        <w:t xml:space="preserve"> ניתן צו לקיום הצוואה המוקדמת על ידי הרשמת לענייני ירושה</w:t>
      </w:r>
      <w:r>
        <w:rPr>
          <w:rFonts w:ascii="David" w:hAnsi="David" w:hint="cs"/>
          <w:rtl/>
        </w:rPr>
        <w:t xml:space="preserve">, ולאחר כחודש ימים, </w:t>
      </w:r>
      <w:r w:rsidR="00631D0D">
        <w:rPr>
          <w:rFonts w:ascii="David" w:hAnsi="David"/>
          <w:rtl/>
        </w:rPr>
        <w:t>ביום 22.6.2021</w:t>
      </w:r>
      <w:r>
        <w:rPr>
          <w:rFonts w:ascii="David" w:hAnsi="David" w:hint="cs"/>
          <w:rtl/>
        </w:rPr>
        <w:t>,</w:t>
      </w:r>
      <w:r w:rsidR="00631D0D">
        <w:rPr>
          <w:rFonts w:ascii="David" w:hAnsi="David"/>
          <w:rtl/>
        </w:rPr>
        <w:t xml:space="preserve"> הגישה האשה בקשה לביטול צו קיום הצוואה המוקדמת וכן הגישה בקשה לקיום הצוואה. </w:t>
      </w:r>
    </w:p>
    <w:p w:rsidR="00B8357B" w:rsidRPr="00B8357B" w:rsidRDefault="00B8357B" w:rsidP="00B8357B">
      <w:pPr>
        <w:pStyle w:val="ad"/>
        <w:bidi/>
        <w:spacing w:line="360" w:lineRule="auto"/>
        <w:ind w:left="567"/>
        <w:contextualSpacing w:val="0"/>
        <w:jc w:val="both"/>
        <w:rPr>
          <w:rFonts w:ascii="David" w:hAnsi="David"/>
          <w:sz w:val="16"/>
          <w:szCs w:val="16"/>
        </w:rPr>
      </w:pPr>
    </w:p>
    <w:p w:rsidR="00631D0D" w:rsidRDefault="00631D0D" w:rsidP="00B8357B">
      <w:pPr>
        <w:pStyle w:val="ad"/>
        <w:numPr>
          <w:ilvl w:val="0"/>
          <w:numId w:val="1"/>
        </w:numPr>
        <w:bidi/>
        <w:spacing w:line="360" w:lineRule="auto"/>
        <w:ind w:left="567" w:hanging="561"/>
        <w:contextualSpacing w:val="0"/>
        <w:jc w:val="both"/>
        <w:rPr>
          <w:rFonts w:ascii="David" w:hAnsi="David"/>
        </w:rPr>
      </w:pPr>
      <w:r w:rsidRPr="00B8357B">
        <w:rPr>
          <w:rFonts w:ascii="David" w:hAnsi="David"/>
          <w:rtl/>
        </w:rPr>
        <w:t xml:space="preserve">בדיון שהתקיים בפני ביום 14.2.2022 הוסכם כי צו קיום הצוואה המוקדמת יבוטל והדיון יסוב סביב הצוואה, וכך היה. עוד ובנוסף, הוריתי על מינוי מומחה מטעם בית המשפט, ד"ר אליעזר פלדינגר, להגשת חוות דעת בעניין כשירותו של המנוח לערוך את הצוואה (להלן: </w:t>
      </w:r>
      <w:r w:rsidR="00B8357B" w:rsidRPr="00B8357B">
        <w:rPr>
          <w:rFonts w:ascii="Miriam" w:hAnsi="Miriam" w:cs="Miriam" w:hint="cs"/>
          <w:b/>
          <w:bCs/>
          <w:sz w:val="22"/>
          <w:szCs w:val="22"/>
          <w:rtl/>
        </w:rPr>
        <w:t>חוות הדעת, המומחה -</w:t>
      </w:r>
      <w:r w:rsidR="00B8357B">
        <w:rPr>
          <w:rFonts w:ascii="Miriam" w:hAnsi="Miriam" w:cs="Miriam" w:hint="cs"/>
          <w:rtl/>
        </w:rPr>
        <w:t xml:space="preserve"> </w:t>
      </w:r>
      <w:r w:rsidR="00B8357B" w:rsidRPr="00B8357B">
        <w:rPr>
          <w:rFonts w:ascii="David" w:hAnsi="David"/>
          <w:rtl/>
        </w:rPr>
        <w:t>בהתאמה</w:t>
      </w:r>
      <w:r w:rsidRPr="00B8357B">
        <w:rPr>
          <w:rFonts w:ascii="David" w:hAnsi="David"/>
          <w:rtl/>
        </w:rPr>
        <w:t xml:space="preserve">). </w:t>
      </w:r>
    </w:p>
    <w:p w:rsidR="00B8357B" w:rsidRPr="00B8357B" w:rsidRDefault="00B8357B" w:rsidP="00B8357B">
      <w:pPr>
        <w:pStyle w:val="ad"/>
        <w:rPr>
          <w:rFonts w:ascii="David" w:hAnsi="David"/>
          <w:rtl/>
        </w:rPr>
      </w:pPr>
    </w:p>
    <w:p w:rsidR="00631D0D" w:rsidRDefault="00631D0D" w:rsidP="000A1F4B">
      <w:pPr>
        <w:pStyle w:val="ad"/>
        <w:numPr>
          <w:ilvl w:val="0"/>
          <w:numId w:val="1"/>
        </w:numPr>
        <w:bidi/>
        <w:spacing w:line="360" w:lineRule="auto"/>
        <w:ind w:left="567" w:hanging="561"/>
        <w:contextualSpacing w:val="0"/>
        <w:jc w:val="both"/>
        <w:rPr>
          <w:rFonts w:ascii="David" w:hAnsi="David"/>
        </w:rPr>
      </w:pPr>
      <w:r w:rsidRPr="00B8357B">
        <w:rPr>
          <w:rFonts w:ascii="David" w:hAnsi="David"/>
          <w:rtl/>
        </w:rPr>
        <w:lastRenderedPageBreak/>
        <w:t>בחוות דעתו מיום 3.7.2022 קבע המומחה, על סמך חומרים רפואיים שהונחו בפניו, כי ב</w:t>
      </w:r>
      <w:r w:rsidR="000A1F4B">
        <w:rPr>
          <w:rFonts w:ascii="David" w:hAnsi="David" w:hint="cs"/>
          <w:rtl/>
        </w:rPr>
        <w:t xml:space="preserve">מועד </w:t>
      </w:r>
      <w:r w:rsidRPr="00B8357B">
        <w:rPr>
          <w:rFonts w:ascii="David" w:hAnsi="David"/>
          <w:rtl/>
        </w:rPr>
        <w:t xml:space="preserve">עריכת הצוואה המנוח </w:t>
      </w:r>
      <w:r w:rsidRPr="00B8357B">
        <w:rPr>
          <w:rFonts w:ascii="David" w:hAnsi="David"/>
          <w:b/>
          <w:bCs/>
          <w:rtl/>
        </w:rPr>
        <w:t>"לא היה מסוגל להבחין כראוי בטיבה של צוואה"</w:t>
      </w:r>
      <w:r w:rsidRPr="00B8357B">
        <w:rPr>
          <w:rFonts w:ascii="David" w:hAnsi="David"/>
          <w:rtl/>
        </w:rPr>
        <w:t xml:space="preserve"> (ר' בעמ' 5 לחוות הדעת).</w:t>
      </w:r>
    </w:p>
    <w:p w:rsidR="00B8357B" w:rsidRPr="000A1F4B" w:rsidRDefault="00B8357B" w:rsidP="00B8357B">
      <w:pPr>
        <w:pStyle w:val="ad"/>
        <w:bidi/>
        <w:rPr>
          <w:rFonts w:ascii="David" w:hAnsi="David"/>
          <w:sz w:val="16"/>
          <w:szCs w:val="16"/>
          <w:rtl/>
        </w:rPr>
      </w:pPr>
    </w:p>
    <w:p w:rsidR="00631D0D" w:rsidRDefault="00631D0D" w:rsidP="00B8357B">
      <w:pPr>
        <w:pStyle w:val="ad"/>
        <w:numPr>
          <w:ilvl w:val="0"/>
          <w:numId w:val="1"/>
        </w:numPr>
        <w:bidi/>
        <w:spacing w:line="360" w:lineRule="auto"/>
        <w:ind w:left="567" w:hanging="561"/>
        <w:contextualSpacing w:val="0"/>
        <w:jc w:val="both"/>
        <w:rPr>
          <w:rFonts w:ascii="David" w:hAnsi="David"/>
        </w:rPr>
      </w:pPr>
      <w:bookmarkStart w:id="1" w:name="_Ref169698237"/>
      <w:r w:rsidRPr="00B8357B">
        <w:rPr>
          <w:rFonts w:ascii="David" w:hAnsi="David"/>
          <w:rtl/>
        </w:rPr>
        <w:t>הצדדים ועדיהם נשמעו ואף ניתן צו לסיכומים בכתב. בין לבין, הגישה האשה בקשה למתן הוראות למומחה, כך שישיב על שאלות הבהרה, ולבקשה זו נעתרתי בהחלטתי מיום 15.12.2022. מאוחר יותר, הגישה האשה בקשה לפסילת חוות דעת המומחה בטענה שהמומחה ערך את חוות דעתו מבלי שהתייחס לשלוש ראיות עיקריות: חוות דעת רפואית מאת הפסיכיאטר ד"ר ויקטור רוזנברג מיום עריכת הצוואה (3.2.2021); סרטון שנערך כשבועיים קודם לכן, ביום 15.1.2021, בו נראה ונשמע המנוח וסרטון נוסף בו נראה ונשמע המנוח במעמד עריכת הצוואה.</w:t>
      </w:r>
      <w:bookmarkEnd w:id="1"/>
      <w:r w:rsidRPr="00B8357B">
        <w:rPr>
          <w:rFonts w:ascii="David" w:hAnsi="David"/>
          <w:rtl/>
        </w:rPr>
        <w:t xml:space="preserve"> </w:t>
      </w:r>
      <w:r w:rsidR="00B8357B">
        <w:rPr>
          <w:rFonts w:ascii="David" w:hAnsi="David" w:hint="cs"/>
          <w:rtl/>
        </w:rPr>
        <w:t xml:space="preserve">להשלמת התמונה יוער כי הראיות הללו לא עמדו בפני המומחה </w:t>
      </w:r>
      <w:r w:rsidR="000842FD">
        <w:rPr>
          <w:rFonts w:ascii="David" w:hAnsi="David" w:hint="cs"/>
          <w:rtl/>
        </w:rPr>
        <w:t>לצורך חוות דעתו.</w:t>
      </w:r>
    </w:p>
    <w:p w:rsidR="00B8357B" w:rsidRPr="000842FD" w:rsidRDefault="00B8357B" w:rsidP="00B8357B">
      <w:pPr>
        <w:pStyle w:val="ad"/>
        <w:bidi/>
        <w:rPr>
          <w:rFonts w:ascii="David" w:hAnsi="David"/>
          <w:sz w:val="16"/>
          <w:szCs w:val="16"/>
          <w:rtl/>
        </w:rPr>
      </w:pPr>
    </w:p>
    <w:p w:rsidR="00631D0D" w:rsidRDefault="00631D0D" w:rsidP="000842FD">
      <w:pPr>
        <w:pStyle w:val="ad"/>
        <w:numPr>
          <w:ilvl w:val="0"/>
          <w:numId w:val="1"/>
        </w:numPr>
        <w:bidi/>
        <w:spacing w:line="360" w:lineRule="auto"/>
        <w:ind w:left="567" w:hanging="561"/>
        <w:contextualSpacing w:val="0"/>
        <w:jc w:val="both"/>
        <w:rPr>
          <w:rFonts w:ascii="David" w:hAnsi="David"/>
        </w:rPr>
      </w:pPr>
      <w:bookmarkStart w:id="2" w:name="_Ref169698494"/>
      <w:r w:rsidRPr="00B8357B">
        <w:rPr>
          <w:rFonts w:ascii="David" w:hAnsi="David"/>
          <w:rtl/>
        </w:rPr>
        <w:t>ביום 6.2.2022 - לאחר הגשת סיכומי התשובה ולאחר ש</w:t>
      </w:r>
      <w:r w:rsidR="000842FD">
        <w:rPr>
          <w:rFonts w:ascii="David" w:hAnsi="David" w:hint="cs"/>
          <w:rtl/>
        </w:rPr>
        <w:t xml:space="preserve">לכאורה היה </w:t>
      </w:r>
      <w:r w:rsidRPr="00B8357B">
        <w:rPr>
          <w:rFonts w:ascii="David" w:hAnsi="David"/>
          <w:rtl/>
        </w:rPr>
        <w:t xml:space="preserve">התיק בשל לכתיבת פסק דין - ובשים לב למחדל האשה באי הגשת בקשות במועד, ניתנה על ידי החלטה המורה למומחה לקבל לעיונו את הראיות הנ"ל וכן </w:t>
      </w:r>
      <w:r w:rsidR="000842FD">
        <w:rPr>
          <w:rFonts w:ascii="David" w:hAnsi="David" w:hint="cs"/>
          <w:rtl/>
        </w:rPr>
        <w:t>להו</w:t>
      </w:r>
      <w:r w:rsidRPr="00B8357B">
        <w:rPr>
          <w:rFonts w:ascii="David" w:hAnsi="David"/>
          <w:rtl/>
        </w:rPr>
        <w:t>דיע לבית המשפט ולנמק האם יש בחומרים הנ"ל כדי לשנות או לסייג את מסקנתו בדבר כשירותו של המנוח לערוך צוואה ביום 3.2.2021.</w:t>
      </w:r>
      <w:bookmarkEnd w:id="2"/>
    </w:p>
    <w:p w:rsidR="000842FD" w:rsidRPr="000842FD" w:rsidRDefault="000842FD" w:rsidP="000842FD">
      <w:pPr>
        <w:pStyle w:val="ad"/>
        <w:bidi/>
        <w:rPr>
          <w:rFonts w:ascii="David" w:hAnsi="David"/>
          <w:sz w:val="16"/>
          <w:szCs w:val="16"/>
          <w:rtl/>
        </w:rPr>
      </w:pPr>
    </w:p>
    <w:p w:rsidR="00631D0D" w:rsidRDefault="00631D0D" w:rsidP="000A1F4B">
      <w:pPr>
        <w:pStyle w:val="ad"/>
        <w:numPr>
          <w:ilvl w:val="0"/>
          <w:numId w:val="1"/>
        </w:numPr>
        <w:bidi/>
        <w:spacing w:line="360" w:lineRule="auto"/>
        <w:ind w:left="567" w:hanging="561"/>
        <w:contextualSpacing w:val="0"/>
        <w:jc w:val="both"/>
        <w:rPr>
          <w:rFonts w:ascii="David" w:hAnsi="David"/>
        </w:rPr>
      </w:pPr>
      <w:r w:rsidRPr="000842FD">
        <w:rPr>
          <w:rFonts w:ascii="David" w:hAnsi="David"/>
          <w:rtl/>
        </w:rPr>
        <w:t>ביום 25.3.2023 הגיש המומחה חוות דעת מתוקנת בה קבע כי ביום עריכת הצוואה המנוח "</w:t>
      </w:r>
      <w:r w:rsidRPr="000842FD">
        <w:rPr>
          <w:rFonts w:ascii="David" w:hAnsi="David"/>
          <w:b/>
          <w:bCs/>
          <w:rtl/>
        </w:rPr>
        <w:t>ידע להבחין בטיבה של צוואה</w:t>
      </w:r>
      <w:r w:rsidRPr="000842FD">
        <w:rPr>
          <w:rFonts w:ascii="David" w:hAnsi="David"/>
          <w:rtl/>
        </w:rPr>
        <w:t xml:space="preserve">" (ר' בעמ' 2 לחוות הדעת המתוקנת). </w:t>
      </w:r>
      <w:r w:rsidR="000842FD">
        <w:rPr>
          <w:rFonts w:ascii="David" w:hAnsi="David" w:hint="cs"/>
          <w:rtl/>
        </w:rPr>
        <w:t xml:space="preserve">יוער כי המומחה זומן לעדות על שתי חוות הדעת. </w:t>
      </w:r>
    </w:p>
    <w:p w:rsidR="000842FD" w:rsidRPr="000842FD" w:rsidRDefault="000842FD" w:rsidP="000842FD">
      <w:pPr>
        <w:pStyle w:val="ad"/>
        <w:bidi/>
        <w:rPr>
          <w:rFonts w:ascii="David" w:hAnsi="David"/>
          <w:sz w:val="16"/>
          <w:szCs w:val="16"/>
          <w:rtl/>
        </w:rPr>
      </w:pPr>
    </w:p>
    <w:p w:rsidR="00631D0D" w:rsidRDefault="00631D0D" w:rsidP="00B611D6">
      <w:pPr>
        <w:pStyle w:val="ad"/>
        <w:numPr>
          <w:ilvl w:val="0"/>
          <w:numId w:val="1"/>
        </w:numPr>
        <w:bidi/>
        <w:spacing w:line="360" w:lineRule="auto"/>
        <w:ind w:left="567" w:hanging="561"/>
        <w:contextualSpacing w:val="0"/>
        <w:jc w:val="both"/>
        <w:rPr>
          <w:rFonts w:ascii="David" w:hAnsi="David"/>
        </w:rPr>
      </w:pPr>
      <w:r w:rsidRPr="000842FD">
        <w:rPr>
          <w:rFonts w:ascii="David" w:hAnsi="David"/>
          <w:rtl/>
        </w:rPr>
        <w:t>להשלמת התמונה יצויין כי בין המנוח לבין האשה נערכו שני הסכמי ממון, הראשון משנת 200</w:t>
      </w:r>
      <w:r w:rsidR="00B611D6">
        <w:rPr>
          <w:rFonts w:ascii="David" w:hAnsi="David" w:hint="cs"/>
          <w:rtl/>
        </w:rPr>
        <w:t>1</w:t>
      </w:r>
      <w:r w:rsidRPr="000842FD">
        <w:rPr>
          <w:rFonts w:ascii="David" w:hAnsi="David"/>
          <w:rtl/>
        </w:rPr>
        <w:t xml:space="preserve"> והשני משנת 2008, ומשניהם עולה הסכמה להפרדה רכושית מוחלטת.</w:t>
      </w:r>
    </w:p>
    <w:p w:rsidR="00B611D6" w:rsidRPr="00B611D6" w:rsidRDefault="00B611D6" w:rsidP="00B611D6">
      <w:pPr>
        <w:pStyle w:val="ad"/>
        <w:rPr>
          <w:rFonts w:ascii="David" w:hAnsi="David"/>
          <w:sz w:val="16"/>
          <w:szCs w:val="16"/>
          <w:rtl/>
        </w:rPr>
      </w:pPr>
    </w:p>
    <w:p w:rsidR="00631D0D" w:rsidRDefault="00631D0D" w:rsidP="00B611D6">
      <w:pPr>
        <w:pStyle w:val="ad"/>
        <w:numPr>
          <w:ilvl w:val="0"/>
          <w:numId w:val="1"/>
        </w:numPr>
        <w:bidi/>
        <w:spacing w:line="360" w:lineRule="auto"/>
        <w:ind w:left="567" w:hanging="561"/>
        <w:contextualSpacing w:val="0"/>
        <w:jc w:val="both"/>
        <w:rPr>
          <w:rFonts w:ascii="David" w:hAnsi="David"/>
        </w:rPr>
      </w:pPr>
      <w:r w:rsidRPr="00B611D6">
        <w:rPr>
          <w:rFonts w:ascii="David" w:hAnsi="David"/>
          <w:rtl/>
        </w:rPr>
        <w:t xml:space="preserve">עוד חשוב להזכיר </w:t>
      </w:r>
      <w:r w:rsidR="00C22376" w:rsidRPr="00B611D6">
        <w:rPr>
          <w:rFonts w:ascii="David" w:hAnsi="David" w:hint="cs"/>
          <w:rtl/>
        </w:rPr>
        <w:t xml:space="preserve">כי </w:t>
      </w:r>
      <w:r w:rsidRPr="00B611D6">
        <w:rPr>
          <w:rFonts w:ascii="David" w:hAnsi="David"/>
          <w:rtl/>
        </w:rPr>
        <w:t xml:space="preserve">בשנת 2019 הועברו מלוא זכויותיו של המנוח בדירה (עיקר רכושו) לשלושת ילדיו בחלקים שווים, וביום 23.2.2021 הגישו </w:t>
      </w:r>
      <w:r w:rsidRPr="00B611D6">
        <w:rPr>
          <w:rFonts w:ascii="David" w:hAnsi="David"/>
          <w:u w:val="single"/>
          <w:rtl/>
        </w:rPr>
        <w:t>המנוח והאשה</w:t>
      </w:r>
      <w:r w:rsidRPr="00B611D6">
        <w:rPr>
          <w:rFonts w:ascii="David" w:hAnsi="David"/>
          <w:rtl/>
        </w:rPr>
        <w:t xml:space="preserve"> תביעה משותפת כנגד הילדים לביטול העברת זכויות המנוח בדירה, בטענה שזו בוצעה בניגוד לרצונו של המנוח. </w:t>
      </w:r>
    </w:p>
    <w:p w:rsidR="00B611D6" w:rsidRPr="00B611D6" w:rsidRDefault="00B611D6" w:rsidP="00B611D6">
      <w:pPr>
        <w:pStyle w:val="ad"/>
        <w:rPr>
          <w:rFonts w:ascii="David" w:hAnsi="David"/>
          <w:rtl/>
        </w:rPr>
      </w:pPr>
    </w:p>
    <w:p w:rsidR="00631D0D" w:rsidRDefault="00B611D6" w:rsidP="00B611D6">
      <w:pPr>
        <w:pStyle w:val="ad"/>
        <w:numPr>
          <w:ilvl w:val="0"/>
          <w:numId w:val="1"/>
        </w:numPr>
        <w:bidi/>
        <w:spacing w:line="360" w:lineRule="auto"/>
        <w:ind w:left="567" w:hanging="561"/>
        <w:contextualSpacing w:val="0"/>
        <w:jc w:val="both"/>
        <w:rPr>
          <w:rFonts w:ascii="David" w:hAnsi="David"/>
        </w:rPr>
      </w:pPr>
      <w:r>
        <w:rPr>
          <w:rFonts w:ascii="David" w:hAnsi="David" w:hint="cs"/>
          <w:rtl/>
        </w:rPr>
        <w:t xml:space="preserve">לסיכום האמור לעיל, </w:t>
      </w:r>
      <w:r w:rsidR="00631D0D" w:rsidRPr="00B611D6">
        <w:rPr>
          <w:rFonts w:ascii="David" w:hAnsi="David"/>
          <w:rtl/>
        </w:rPr>
        <w:t>להלן יובאו האירועים העיקריים הצריכים לעניין ומועדם:</w:t>
      </w:r>
    </w:p>
    <w:p w:rsidR="00B611D6" w:rsidRPr="00B611D6" w:rsidRDefault="00B611D6" w:rsidP="00B611D6">
      <w:pPr>
        <w:pStyle w:val="ad"/>
        <w:rPr>
          <w:rFonts w:ascii="David" w:hAnsi="David"/>
          <w:rtl/>
        </w:rPr>
      </w:pPr>
    </w:p>
    <w:p w:rsidR="00631D0D" w:rsidRDefault="00631D0D" w:rsidP="00B611D6">
      <w:pPr>
        <w:pStyle w:val="ad"/>
        <w:bidi/>
        <w:spacing w:line="360" w:lineRule="auto"/>
        <w:ind w:left="567"/>
        <w:contextualSpacing w:val="0"/>
        <w:jc w:val="both"/>
        <w:rPr>
          <w:rFonts w:ascii="David" w:hAnsi="David"/>
          <w:rtl/>
        </w:rPr>
      </w:pPr>
      <w:r w:rsidRPr="00B611D6">
        <w:rPr>
          <w:rFonts w:ascii="David" w:hAnsi="David"/>
          <w:rtl/>
        </w:rPr>
        <w:t>6.12.2001 – הסכם הממון הראשון הקובע הפרדה רכושית מוחלטת;</w:t>
      </w:r>
    </w:p>
    <w:p w:rsidR="00631D0D" w:rsidRDefault="00631D0D" w:rsidP="00B611D6">
      <w:pPr>
        <w:pStyle w:val="ad"/>
        <w:bidi/>
        <w:spacing w:line="360" w:lineRule="auto"/>
        <w:ind w:left="567"/>
        <w:contextualSpacing w:val="0"/>
        <w:jc w:val="both"/>
        <w:rPr>
          <w:rFonts w:ascii="David" w:hAnsi="David"/>
          <w:rtl/>
        </w:rPr>
      </w:pPr>
      <w:r>
        <w:rPr>
          <w:rFonts w:ascii="David" w:hAnsi="David"/>
          <w:rtl/>
        </w:rPr>
        <w:t>16.4.2002 – צוואה מוקדמת לפיה הילדים יורשים את עיזבונו של המנוח;</w:t>
      </w:r>
    </w:p>
    <w:p w:rsidR="00631D0D" w:rsidRDefault="00631D0D" w:rsidP="00B611D6">
      <w:pPr>
        <w:pStyle w:val="ad"/>
        <w:bidi/>
        <w:spacing w:line="360" w:lineRule="auto"/>
        <w:ind w:left="567"/>
        <w:contextualSpacing w:val="0"/>
        <w:jc w:val="both"/>
        <w:rPr>
          <w:rFonts w:ascii="David" w:hAnsi="David"/>
          <w:rtl/>
        </w:rPr>
      </w:pPr>
      <w:r>
        <w:rPr>
          <w:rFonts w:ascii="David" w:hAnsi="David"/>
          <w:rtl/>
        </w:rPr>
        <w:t>14.8.2008 – הסכם הממון השני שאף הוא קובע הפרדה רכושית מוחלטת;</w:t>
      </w:r>
    </w:p>
    <w:p w:rsidR="00631D0D" w:rsidRDefault="00631D0D" w:rsidP="00B611D6">
      <w:pPr>
        <w:pStyle w:val="ad"/>
        <w:bidi/>
        <w:spacing w:line="360" w:lineRule="auto"/>
        <w:ind w:left="567"/>
        <w:contextualSpacing w:val="0"/>
        <w:jc w:val="both"/>
        <w:rPr>
          <w:rFonts w:ascii="David" w:hAnsi="David"/>
          <w:rtl/>
        </w:rPr>
      </w:pPr>
      <w:r>
        <w:rPr>
          <w:rFonts w:ascii="David" w:hAnsi="David"/>
          <w:rtl/>
        </w:rPr>
        <w:t>11.2.2019 – הסכם מתנה המעביר את זכויות המנוח בדירה לילדים;</w:t>
      </w:r>
    </w:p>
    <w:p w:rsidR="00631D0D" w:rsidRDefault="00631D0D" w:rsidP="00B611D6">
      <w:pPr>
        <w:pStyle w:val="ad"/>
        <w:bidi/>
        <w:spacing w:line="360" w:lineRule="auto"/>
        <w:ind w:left="567"/>
        <w:contextualSpacing w:val="0"/>
        <w:jc w:val="both"/>
        <w:rPr>
          <w:rFonts w:ascii="David" w:hAnsi="David"/>
          <w:rtl/>
        </w:rPr>
      </w:pPr>
      <w:r>
        <w:rPr>
          <w:rFonts w:ascii="David" w:hAnsi="David"/>
          <w:rtl/>
        </w:rPr>
        <w:t>23.2.2021 – המנוח והאשה מגישים תביעה לביטול הסכם המתנה;</w:t>
      </w:r>
    </w:p>
    <w:p w:rsidR="00631D0D" w:rsidRDefault="00631D0D" w:rsidP="00B611D6">
      <w:pPr>
        <w:pStyle w:val="ad"/>
        <w:bidi/>
        <w:spacing w:line="360" w:lineRule="auto"/>
        <w:ind w:left="567"/>
        <w:contextualSpacing w:val="0"/>
        <w:jc w:val="both"/>
        <w:rPr>
          <w:rFonts w:ascii="David" w:hAnsi="David"/>
          <w:rtl/>
        </w:rPr>
      </w:pPr>
      <w:r>
        <w:rPr>
          <w:rFonts w:ascii="David" w:hAnsi="David"/>
          <w:rtl/>
        </w:rPr>
        <w:t>3.2.2021 – המנוח עורך את הצוואה.</w:t>
      </w:r>
    </w:p>
    <w:p w:rsidR="00631D0D" w:rsidRDefault="00631D0D" w:rsidP="00B611D6">
      <w:pPr>
        <w:pStyle w:val="ad"/>
        <w:bidi/>
        <w:spacing w:line="360" w:lineRule="auto"/>
        <w:ind w:left="567"/>
        <w:contextualSpacing w:val="0"/>
        <w:jc w:val="both"/>
        <w:rPr>
          <w:rFonts w:ascii="David" w:hAnsi="David"/>
          <w:rtl/>
        </w:rPr>
      </w:pPr>
      <w:r>
        <w:rPr>
          <w:rFonts w:ascii="David" w:hAnsi="David"/>
          <w:rtl/>
        </w:rPr>
        <w:t>20.3.2021 – המנוח הל"ע.</w:t>
      </w:r>
    </w:p>
    <w:p w:rsidR="00B611D6" w:rsidRDefault="00B611D6" w:rsidP="00B611D6">
      <w:pPr>
        <w:pStyle w:val="ad"/>
        <w:bidi/>
        <w:spacing w:line="360" w:lineRule="auto"/>
        <w:ind w:left="567"/>
        <w:contextualSpacing w:val="0"/>
        <w:jc w:val="both"/>
        <w:rPr>
          <w:rFonts w:ascii="David" w:hAnsi="David"/>
          <w:rtl/>
        </w:rPr>
      </w:pPr>
    </w:p>
    <w:p w:rsidR="00631D0D" w:rsidRDefault="00631D0D" w:rsidP="0043281C">
      <w:pPr>
        <w:pStyle w:val="ad"/>
        <w:numPr>
          <w:ilvl w:val="0"/>
          <w:numId w:val="1"/>
        </w:numPr>
        <w:bidi/>
        <w:spacing w:line="360" w:lineRule="auto"/>
        <w:ind w:left="567" w:hanging="564"/>
        <w:contextualSpacing w:val="0"/>
        <w:jc w:val="both"/>
        <w:rPr>
          <w:rFonts w:ascii="David" w:hAnsi="David"/>
          <w:rtl/>
        </w:rPr>
      </w:pPr>
      <w:r>
        <w:rPr>
          <w:rFonts w:ascii="David" w:hAnsi="David"/>
          <w:rtl/>
        </w:rPr>
        <w:lastRenderedPageBreak/>
        <w:t xml:space="preserve">לאחר שהוגשו הסיכומים בשנית, בשלה העת ליתן פסק דין זה. </w:t>
      </w:r>
      <w:r w:rsidR="0043281C">
        <w:rPr>
          <w:rFonts w:ascii="David" w:hAnsi="David" w:hint="cs"/>
          <w:rtl/>
        </w:rPr>
        <w:t xml:space="preserve">לאחר כתיבת טיוטא מסכמת של פסק דין זה, </w:t>
      </w:r>
      <w:r>
        <w:rPr>
          <w:rFonts w:ascii="David" w:hAnsi="David"/>
          <w:rtl/>
        </w:rPr>
        <w:t>ביקשתי לצפות פעם נוספת בסרטו</w:t>
      </w:r>
      <w:r w:rsidR="0043281C">
        <w:rPr>
          <w:rFonts w:ascii="David" w:hAnsi="David" w:hint="cs"/>
          <w:rtl/>
        </w:rPr>
        <w:t>ן</w:t>
      </w:r>
      <w:r>
        <w:rPr>
          <w:rFonts w:ascii="David" w:hAnsi="David"/>
          <w:rtl/>
        </w:rPr>
        <w:t xml:space="preserve"> בו צולם המנוח במועד עריכת הצוואה, וכך היה. הצפייה החוזרת בסרטון נתבקשה כחלק מרצוני להיחשף פעם נוספת למכלול העובדות והראיות בתיק. אציין כי הצפייה החוזרת בסרטון לא שינתה את עמדתי כפי שתובא בפסק דין זה. </w:t>
      </w:r>
    </w:p>
    <w:p w:rsidR="00631D0D" w:rsidRDefault="00631D0D" w:rsidP="00D340D1">
      <w:pPr>
        <w:pStyle w:val="ad"/>
        <w:bidi/>
        <w:spacing w:line="360" w:lineRule="auto"/>
        <w:contextualSpacing w:val="0"/>
        <w:rPr>
          <w:rFonts w:ascii="David" w:hAnsi="David"/>
          <w:sz w:val="16"/>
          <w:szCs w:val="16"/>
        </w:rPr>
      </w:pPr>
    </w:p>
    <w:p w:rsidR="00631D0D" w:rsidRDefault="00631D0D" w:rsidP="00D340D1">
      <w:pPr>
        <w:bidi/>
        <w:spacing w:line="360" w:lineRule="auto"/>
        <w:jc w:val="both"/>
        <w:rPr>
          <w:rFonts w:ascii="David" w:hAnsi="David"/>
          <w:b/>
          <w:bCs/>
          <w:rtl/>
        </w:rPr>
      </w:pPr>
      <w:r>
        <w:rPr>
          <w:rFonts w:ascii="David" w:hAnsi="David"/>
          <w:b/>
          <w:bCs/>
          <w:rtl/>
        </w:rPr>
        <w:t>ב' - טענות הצדדים:</w:t>
      </w:r>
    </w:p>
    <w:p w:rsidR="0043281C" w:rsidRPr="0043281C" w:rsidRDefault="0043281C" w:rsidP="0043281C">
      <w:pPr>
        <w:bidi/>
        <w:spacing w:line="360" w:lineRule="auto"/>
        <w:jc w:val="both"/>
        <w:rPr>
          <w:rFonts w:ascii="David" w:hAnsi="David"/>
          <w:b/>
          <w:bCs/>
          <w:sz w:val="16"/>
          <w:szCs w:val="16"/>
        </w:rPr>
      </w:pPr>
    </w:p>
    <w:p w:rsidR="00631D0D" w:rsidRDefault="00631D0D" w:rsidP="0043281C">
      <w:pPr>
        <w:pStyle w:val="ad"/>
        <w:numPr>
          <w:ilvl w:val="0"/>
          <w:numId w:val="1"/>
        </w:numPr>
        <w:bidi/>
        <w:spacing w:line="360" w:lineRule="auto"/>
        <w:ind w:left="567" w:hanging="561"/>
        <w:contextualSpacing w:val="0"/>
        <w:jc w:val="both"/>
        <w:rPr>
          <w:rFonts w:ascii="David" w:hAnsi="David"/>
        </w:rPr>
      </w:pPr>
      <w:r>
        <w:rPr>
          <w:rFonts w:ascii="David" w:hAnsi="David"/>
          <w:rtl/>
        </w:rPr>
        <w:t>להלן עיקר טענות הילדים:</w:t>
      </w:r>
    </w:p>
    <w:p w:rsidR="0043281C" w:rsidRPr="0043281C" w:rsidRDefault="0043281C" w:rsidP="0043281C">
      <w:pPr>
        <w:pStyle w:val="ad"/>
        <w:bidi/>
        <w:spacing w:line="360" w:lineRule="auto"/>
        <w:ind w:left="567"/>
        <w:contextualSpacing w:val="0"/>
        <w:jc w:val="both"/>
        <w:rPr>
          <w:rFonts w:ascii="David" w:hAnsi="David"/>
          <w:sz w:val="16"/>
          <w:szCs w:val="16"/>
        </w:rPr>
      </w:pPr>
    </w:p>
    <w:p w:rsidR="00631D0D" w:rsidRDefault="00631D0D" w:rsidP="0043281C">
      <w:pPr>
        <w:pStyle w:val="ad"/>
        <w:numPr>
          <w:ilvl w:val="0"/>
          <w:numId w:val="3"/>
        </w:numPr>
        <w:bidi/>
        <w:spacing w:line="360" w:lineRule="auto"/>
        <w:ind w:hanging="513"/>
        <w:contextualSpacing w:val="0"/>
        <w:jc w:val="both"/>
        <w:rPr>
          <w:rFonts w:ascii="David" w:hAnsi="David"/>
          <w:rtl/>
        </w:rPr>
      </w:pPr>
      <w:r>
        <w:rPr>
          <w:rFonts w:ascii="David" w:hAnsi="David"/>
          <w:rtl/>
        </w:rPr>
        <w:t xml:space="preserve">המנוח היה נעדר כשירות וגמירות דעת לצוות בעת שחתם על הצוואה. במועד עריכת הצוואה היה המנוח סיעודי, חולה סופני בסרטן ריאות לרבות גרורות במוחו, ומחמת מצבו הפיזי והקוגניטיבי הירוד לא יכול היה להבחין בטיבה של צוואה. הידרדרותו הקוגניטיבית של המנוח מתועדת בעקביות במסמכיו הרפואיים בחודשים המובילים למועד עריכת הצוואה, על בסיסם קבע המומחה מטעם בית המשפט כי המנוח לא ידע להבחין בטיבה של צוואה. זאת ועוד, עורך הדין שערך את הצוואה וכן הפסיכיאטר מטעמו שערך חוות דעת אודות כשירות המנוח לצוות ביום עריכת הצוואה העידו שניהם כי לא עודכנו במחלתו הממארת והסופנית של המנוח, מה שמעמיד בספק רב את עדותם בעניין. </w:t>
      </w:r>
    </w:p>
    <w:p w:rsidR="0043281C" w:rsidRDefault="00631D0D" w:rsidP="0043281C">
      <w:pPr>
        <w:pStyle w:val="ad"/>
        <w:numPr>
          <w:ilvl w:val="0"/>
          <w:numId w:val="3"/>
        </w:numPr>
        <w:bidi/>
        <w:spacing w:line="360" w:lineRule="auto"/>
        <w:ind w:hanging="513"/>
        <w:contextualSpacing w:val="0"/>
        <w:jc w:val="both"/>
        <w:rPr>
          <w:rFonts w:ascii="David" w:hAnsi="David"/>
        </w:rPr>
      </w:pPr>
      <w:r>
        <w:rPr>
          <w:rFonts w:ascii="David" w:hAnsi="David"/>
          <w:rtl/>
        </w:rPr>
        <w:t>הצוואה היא תולדה של השפעה בלתי הוגנת על המנוח מצד האשה, שפעלה בשיטתיות ובכוונת מכוון לביצוע "מחטף" של מלוא עזבון המנוח בערוב ימיו (ולמעשה הפיכת המצב המשפטי רב השנים באשר לעזבון, אותו הקפיד המנוח לעגן בצוואה המוקדמת ובשני הסכמי ממון הקובעים הפרדה רכושית, על פיו). זאת, כאשר המנוח היה תחת שליטתה ופעל לפי הוראותיה כחומר ביד היוצר בעודו תלוי בה ומפוקח על ידה. בתוך כך, פעלה האשה להרחקת הילדים מהמנוח כחלק מכוונתה להשפיע עליו באופן בלתי הוגן להדירם מצוואתו.</w:t>
      </w:r>
    </w:p>
    <w:p w:rsidR="00631D0D" w:rsidRDefault="00631D0D" w:rsidP="0043281C">
      <w:pPr>
        <w:pStyle w:val="ad"/>
        <w:numPr>
          <w:ilvl w:val="0"/>
          <w:numId w:val="3"/>
        </w:numPr>
        <w:bidi/>
        <w:spacing w:line="360" w:lineRule="auto"/>
        <w:ind w:hanging="513"/>
        <w:contextualSpacing w:val="0"/>
        <w:jc w:val="both"/>
        <w:rPr>
          <w:rFonts w:ascii="David" w:hAnsi="David"/>
        </w:rPr>
      </w:pPr>
      <w:r w:rsidRPr="0043281C">
        <w:rPr>
          <w:rFonts w:ascii="David" w:hAnsi="David"/>
          <w:rtl/>
        </w:rPr>
        <w:t xml:space="preserve">לאשה הייתה מעורבות של ממש בעשיית הצוואה, שהרי היא התקשרה עם עורך הדין שערך את הצוואה, בו ביום שחזר המנוח מאשפוז בו התגלה דבר מחלתו בסרטן ריאות מתקדם, שלטה במידע שנמסר לעורך הדין לגבי </w:t>
      </w:r>
      <w:r w:rsidR="0043281C">
        <w:rPr>
          <w:rFonts w:ascii="David" w:hAnsi="David" w:hint="cs"/>
          <w:rtl/>
        </w:rPr>
        <w:t>"</w:t>
      </w:r>
      <w:r w:rsidRPr="0043281C">
        <w:rPr>
          <w:rFonts w:ascii="David" w:hAnsi="David"/>
          <w:rtl/>
        </w:rPr>
        <w:t>רצונותיו</w:t>
      </w:r>
      <w:r w:rsidR="0043281C">
        <w:rPr>
          <w:rFonts w:ascii="David" w:hAnsi="David" w:hint="cs"/>
          <w:rtl/>
        </w:rPr>
        <w:t>"</w:t>
      </w:r>
      <w:r w:rsidRPr="0043281C">
        <w:rPr>
          <w:rFonts w:ascii="David" w:hAnsi="David"/>
          <w:rtl/>
        </w:rPr>
        <w:t xml:space="preserve"> של המנוח ומצבו הרפואי, ידעה והכירה את כל פעולותיו של עורך הדין ביחס למנוח, שילמה את שכר טרחתו (אף אם מכספי המנוח) ואף נכחה בבית ושוחחה עמו ביום עריכת הצוואה.</w:t>
      </w:r>
    </w:p>
    <w:p w:rsidR="00631D0D" w:rsidRDefault="00631D0D" w:rsidP="0043281C">
      <w:pPr>
        <w:pStyle w:val="ad"/>
        <w:numPr>
          <w:ilvl w:val="0"/>
          <w:numId w:val="3"/>
        </w:numPr>
        <w:bidi/>
        <w:spacing w:line="360" w:lineRule="auto"/>
        <w:ind w:hanging="513"/>
        <w:contextualSpacing w:val="0"/>
        <w:jc w:val="both"/>
        <w:rPr>
          <w:rFonts w:ascii="David" w:hAnsi="David"/>
        </w:rPr>
      </w:pPr>
      <w:r w:rsidRPr="0043281C">
        <w:rPr>
          <w:rFonts w:ascii="David" w:hAnsi="David"/>
          <w:rtl/>
        </w:rPr>
        <w:t>מתוך כל אלה, יש להורות על דחיית הבקשה לקיום הצוואה.</w:t>
      </w: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Default="0043281C" w:rsidP="0043281C">
      <w:pPr>
        <w:pStyle w:val="ad"/>
        <w:bidi/>
        <w:spacing w:line="360" w:lineRule="auto"/>
        <w:ind w:left="1080"/>
        <w:contextualSpacing w:val="0"/>
        <w:jc w:val="both"/>
        <w:rPr>
          <w:rFonts w:ascii="David" w:hAnsi="David"/>
          <w:sz w:val="16"/>
          <w:szCs w:val="16"/>
          <w:rtl/>
        </w:rPr>
      </w:pPr>
    </w:p>
    <w:p w:rsidR="0043281C" w:rsidRPr="0043281C" w:rsidRDefault="0043281C" w:rsidP="0043281C">
      <w:pPr>
        <w:pStyle w:val="ad"/>
        <w:bidi/>
        <w:spacing w:line="360" w:lineRule="auto"/>
        <w:ind w:left="1080"/>
        <w:contextualSpacing w:val="0"/>
        <w:jc w:val="both"/>
        <w:rPr>
          <w:rFonts w:ascii="David" w:hAnsi="David"/>
          <w:sz w:val="16"/>
          <w:szCs w:val="16"/>
        </w:rPr>
      </w:pPr>
    </w:p>
    <w:p w:rsidR="00631D0D" w:rsidRDefault="00631D0D" w:rsidP="00D340D1">
      <w:pPr>
        <w:pStyle w:val="ad"/>
        <w:numPr>
          <w:ilvl w:val="0"/>
          <w:numId w:val="1"/>
        </w:numPr>
        <w:bidi/>
        <w:spacing w:line="360" w:lineRule="auto"/>
        <w:ind w:left="363" w:hanging="357"/>
        <w:contextualSpacing w:val="0"/>
        <w:jc w:val="both"/>
        <w:rPr>
          <w:rFonts w:ascii="David" w:hAnsi="David"/>
        </w:rPr>
      </w:pPr>
      <w:r>
        <w:rPr>
          <w:rFonts w:ascii="David" w:hAnsi="David"/>
          <w:rtl/>
        </w:rPr>
        <w:lastRenderedPageBreak/>
        <w:t>להלן עיקר טענות האשה:</w:t>
      </w:r>
    </w:p>
    <w:p w:rsidR="0043281C" w:rsidRPr="0043281C" w:rsidRDefault="0043281C" w:rsidP="0043281C">
      <w:pPr>
        <w:pStyle w:val="ad"/>
        <w:bidi/>
        <w:spacing w:line="360" w:lineRule="auto"/>
        <w:ind w:left="363"/>
        <w:contextualSpacing w:val="0"/>
        <w:jc w:val="both"/>
        <w:rPr>
          <w:rFonts w:ascii="David" w:hAnsi="David"/>
          <w:sz w:val="16"/>
          <w:szCs w:val="16"/>
        </w:rPr>
      </w:pPr>
    </w:p>
    <w:p w:rsidR="00631D0D" w:rsidRDefault="00631D0D" w:rsidP="0043281C">
      <w:pPr>
        <w:pStyle w:val="ad"/>
        <w:numPr>
          <w:ilvl w:val="0"/>
          <w:numId w:val="4"/>
        </w:numPr>
        <w:bidi/>
        <w:spacing w:line="360" w:lineRule="auto"/>
        <w:ind w:hanging="513"/>
        <w:contextualSpacing w:val="0"/>
        <w:jc w:val="both"/>
        <w:rPr>
          <w:rFonts w:ascii="David" w:hAnsi="David"/>
        </w:rPr>
      </w:pPr>
      <w:r>
        <w:rPr>
          <w:rFonts w:ascii="David" w:hAnsi="David"/>
          <w:rtl/>
        </w:rPr>
        <w:t>המנוח היה כשיר לצוות והבין טיבה של הצוואה, ולראיה סרטון וידיאו בו מצולם המנוח במועד חתימתו על הצוואה והמעיד על צלילות דעתו ורצונו החופשי, חוות דעתו של הפסיכיאטר ד"ר רוזנברג שבדק את המנוח בו ביום עשיית הצוואה ומצא כי הוא כשיר לערוך אותה, ומעל לכל, חוות דעתו המאוחרת של המומחה מטעם בית המשפט שקבע על בסיס חומרים אלה כי המנוח ידע להבחין בטיבה של צוואה. התגלות מחלת המנוח ימים ספורים לפני עריכת הצוואה אינה טעם מספיק לפסילתה, קל וחומר כאשר תפקודו וכושרו הקוגניטיבי של המנוח נותרו בעינם.</w:t>
      </w:r>
    </w:p>
    <w:p w:rsidR="00631D0D" w:rsidRDefault="00631D0D" w:rsidP="007E371D">
      <w:pPr>
        <w:pStyle w:val="ad"/>
        <w:numPr>
          <w:ilvl w:val="0"/>
          <w:numId w:val="4"/>
        </w:numPr>
        <w:bidi/>
        <w:spacing w:line="360" w:lineRule="auto"/>
        <w:ind w:hanging="513"/>
        <w:contextualSpacing w:val="0"/>
        <w:jc w:val="both"/>
        <w:rPr>
          <w:rFonts w:ascii="David" w:hAnsi="David"/>
        </w:rPr>
      </w:pPr>
      <w:r w:rsidRPr="007E371D">
        <w:rPr>
          <w:rFonts w:ascii="David" w:hAnsi="David"/>
          <w:rtl/>
        </w:rPr>
        <w:t xml:space="preserve">האשה לא השפיעה על בן זוגה המנוח לערוך את צוואתו </w:t>
      </w:r>
      <w:r w:rsidR="007E371D">
        <w:rPr>
          <w:rFonts w:ascii="David" w:hAnsi="David" w:hint="cs"/>
          <w:rtl/>
        </w:rPr>
        <w:t xml:space="preserve">ובטח שלא </w:t>
      </w:r>
      <w:r w:rsidRPr="007E371D">
        <w:rPr>
          <w:rFonts w:ascii="David" w:hAnsi="David"/>
          <w:rtl/>
        </w:rPr>
        <w:t xml:space="preserve">באופן בלתי הוגן. ציווי עזבון המנוח לאשה מתיישב הן עם כוונותיו, עליהן הצהיר בריש גלי ובפרהסיה בפני משפחה וחברים בעודו בחייו, והן עם ההגיון הבריא לאור 23 שנות זוגיות טובה עם האשה. </w:t>
      </w:r>
    </w:p>
    <w:p w:rsidR="00631D0D" w:rsidRDefault="00631D0D" w:rsidP="007E371D">
      <w:pPr>
        <w:pStyle w:val="ad"/>
        <w:numPr>
          <w:ilvl w:val="0"/>
          <w:numId w:val="4"/>
        </w:numPr>
        <w:bidi/>
        <w:spacing w:line="360" w:lineRule="auto"/>
        <w:ind w:hanging="513"/>
        <w:contextualSpacing w:val="0"/>
        <w:jc w:val="both"/>
        <w:rPr>
          <w:rFonts w:ascii="David" w:hAnsi="David"/>
        </w:rPr>
      </w:pPr>
      <w:r w:rsidRPr="007E371D">
        <w:rPr>
          <w:rFonts w:ascii="David" w:hAnsi="David"/>
          <w:rtl/>
        </w:rPr>
        <w:t xml:space="preserve">לאשה לא הייתה מעורבות והיא לא נטלה כל חלק בעשיית הצוואה. איתור עורך הדין שערך את הצוואה, בעקבות המלצה חמה שקיבלה מחברה לעבודה, אין פירושו מעורבות בעריכת הצוואה. יתרה מכך, האשה </w:t>
      </w:r>
      <w:r w:rsidR="007E371D">
        <w:rPr>
          <w:rFonts w:ascii="David" w:hAnsi="David" w:hint="cs"/>
          <w:rtl/>
        </w:rPr>
        <w:t xml:space="preserve">לא נכחה </w:t>
      </w:r>
      <w:r w:rsidRPr="007E371D">
        <w:rPr>
          <w:rFonts w:ascii="David" w:hAnsi="David"/>
          <w:rtl/>
        </w:rPr>
        <w:t>במעמד בדיקת הפסיכיאטר ד"ר רוזנברג את כשירות המנוח ביום עריכת הצוואה ו</w:t>
      </w:r>
      <w:r w:rsidR="007E371D">
        <w:rPr>
          <w:rFonts w:ascii="David" w:hAnsi="David" w:hint="cs"/>
          <w:rtl/>
        </w:rPr>
        <w:t xml:space="preserve">לא נכחה </w:t>
      </w:r>
      <w:r w:rsidRPr="007E371D">
        <w:rPr>
          <w:rFonts w:ascii="David" w:hAnsi="David"/>
          <w:rtl/>
        </w:rPr>
        <w:t>בעת חתימת המנוח על הצוואה</w:t>
      </w:r>
      <w:r w:rsidR="007E371D">
        <w:rPr>
          <w:rFonts w:ascii="David" w:hAnsi="David" w:hint="cs"/>
          <w:rtl/>
        </w:rPr>
        <w:t xml:space="preserve">. </w:t>
      </w:r>
    </w:p>
    <w:p w:rsidR="00631D0D" w:rsidRDefault="00631D0D" w:rsidP="007E371D">
      <w:pPr>
        <w:pStyle w:val="ad"/>
        <w:numPr>
          <w:ilvl w:val="0"/>
          <w:numId w:val="4"/>
        </w:numPr>
        <w:bidi/>
        <w:spacing w:line="360" w:lineRule="auto"/>
        <w:ind w:hanging="513"/>
        <w:contextualSpacing w:val="0"/>
        <w:jc w:val="both"/>
        <w:rPr>
          <w:rFonts w:ascii="David" w:hAnsi="David"/>
        </w:rPr>
      </w:pPr>
      <w:r w:rsidRPr="007E371D">
        <w:rPr>
          <w:rFonts w:ascii="David" w:hAnsi="David"/>
          <w:rtl/>
        </w:rPr>
        <w:t xml:space="preserve">על כן, יש להורות על קבלת הבקשה לקיום הצוואה. </w:t>
      </w:r>
    </w:p>
    <w:p w:rsidR="007E371D" w:rsidRPr="007E371D" w:rsidRDefault="007E371D" w:rsidP="007E371D">
      <w:pPr>
        <w:pStyle w:val="ad"/>
        <w:bidi/>
        <w:spacing w:line="360" w:lineRule="auto"/>
        <w:ind w:left="1080"/>
        <w:contextualSpacing w:val="0"/>
        <w:jc w:val="both"/>
        <w:rPr>
          <w:rFonts w:ascii="David" w:hAnsi="David"/>
          <w:sz w:val="16"/>
          <w:szCs w:val="16"/>
          <w:rtl/>
        </w:rPr>
      </w:pPr>
    </w:p>
    <w:p w:rsidR="00631D0D" w:rsidRDefault="00631D0D" w:rsidP="00D340D1">
      <w:pPr>
        <w:bidi/>
        <w:spacing w:line="360" w:lineRule="auto"/>
        <w:jc w:val="both"/>
        <w:rPr>
          <w:rFonts w:ascii="David" w:hAnsi="David"/>
          <w:b/>
          <w:bCs/>
          <w:rtl/>
        </w:rPr>
      </w:pPr>
      <w:r>
        <w:rPr>
          <w:rFonts w:ascii="David" w:hAnsi="David"/>
          <w:b/>
          <w:bCs/>
          <w:rtl/>
        </w:rPr>
        <w:t xml:space="preserve">ג' - דיון: </w:t>
      </w:r>
    </w:p>
    <w:p w:rsidR="007E371D" w:rsidRPr="007E371D" w:rsidRDefault="007E371D" w:rsidP="007E371D">
      <w:pPr>
        <w:bidi/>
        <w:spacing w:line="360" w:lineRule="auto"/>
        <w:jc w:val="both"/>
        <w:rPr>
          <w:rFonts w:ascii="David" w:hAnsi="David"/>
          <w:b/>
          <w:bCs/>
          <w:sz w:val="16"/>
          <w:szCs w:val="16"/>
        </w:rPr>
      </w:pPr>
    </w:p>
    <w:p w:rsidR="00631D0D" w:rsidRDefault="00631D0D" w:rsidP="007E371D">
      <w:pPr>
        <w:pStyle w:val="ad"/>
        <w:numPr>
          <w:ilvl w:val="0"/>
          <w:numId w:val="1"/>
        </w:numPr>
        <w:bidi/>
        <w:spacing w:line="360" w:lineRule="auto"/>
        <w:ind w:left="567" w:hanging="561"/>
        <w:contextualSpacing w:val="0"/>
        <w:jc w:val="both"/>
        <w:rPr>
          <w:rFonts w:ascii="David" w:hAnsi="David"/>
        </w:rPr>
      </w:pPr>
      <w:r>
        <w:rPr>
          <w:rFonts w:ascii="David" w:hAnsi="David"/>
          <w:rtl/>
        </w:rPr>
        <w:t xml:space="preserve">כבר בפתח פרק זה אבקש להקדים את המאוחר ולומר כי על אף עננת הספק האופפת את פעולות האשה בסמוך לעריכת הצוואה ואת היעדר העקביות בחלק מן העדויות שהובאו מטעמה, מצאתי </w:t>
      </w:r>
      <w:r w:rsidR="007E371D">
        <w:rPr>
          <w:rFonts w:ascii="David" w:hAnsi="David" w:hint="cs"/>
          <w:rtl/>
        </w:rPr>
        <w:t xml:space="preserve">- </w:t>
      </w:r>
      <w:r>
        <w:rPr>
          <w:rFonts w:ascii="David" w:hAnsi="David"/>
          <w:rtl/>
        </w:rPr>
        <w:t xml:space="preserve">ולא בנקל הגעתי למסקנתי זו </w:t>
      </w:r>
      <w:r w:rsidR="007E371D">
        <w:rPr>
          <w:rFonts w:ascii="David" w:hAnsi="David" w:hint="cs"/>
          <w:rtl/>
        </w:rPr>
        <w:t xml:space="preserve">- </w:t>
      </w:r>
      <w:r>
        <w:rPr>
          <w:rFonts w:ascii="David" w:hAnsi="David"/>
          <w:rtl/>
        </w:rPr>
        <w:t>כי לא עלה ביד</w:t>
      </w:r>
      <w:r w:rsidR="007E371D">
        <w:rPr>
          <w:rFonts w:ascii="David" w:hAnsi="David" w:hint="cs"/>
          <w:rtl/>
        </w:rPr>
        <w:t>י</w:t>
      </w:r>
      <w:r>
        <w:rPr>
          <w:rFonts w:ascii="David" w:hAnsi="David"/>
          <w:rtl/>
        </w:rPr>
        <w:t xml:space="preserve"> הילדים לעמוד בנטל הנדרש לביטול הצוואה, הרובץ לפתחם בראי הנחת המוצא של חוק הירושה, תשכ"ה–1965 (להלן: </w:t>
      </w:r>
      <w:r w:rsidRPr="007E371D">
        <w:rPr>
          <w:rFonts w:ascii="Miriam" w:hAnsi="Miriam" w:cs="Miriam"/>
          <w:b/>
          <w:bCs/>
          <w:sz w:val="22"/>
          <w:szCs w:val="22"/>
          <w:rtl/>
        </w:rPr>
        <w:t>החוק</w:t>
      </w:r>
      <w:r>
        <w:rPr>
          <w:rFonts w:ascii="David" w:hAnsi="David"/>
          <w:rtl/>
        </w:rPr>
        <w:t xml:space="preserve">) לפיה הצוואה כשרה ובראי החזקות שעוגנו בפסיקה, כפי שיובא להלן. </w:t>
      </w:r>
    </w:p>
    <w:p w:rsidR="007E371D" w:rsidRPr="007E371D" w:rsidRDefault="007E371D" w:rsidP="007E371D">
      <w:pPr>
        <w:pStyle w:val="ad"/>
        <w:bidi/>
        <w:spacing w:line="360" w:lineRule="auto"/>
        <w:ind w:left="567"/>
        <w:contextualSpacing w:val="0"/>
        <w:jc w:val="both"/>
        <w:rPr>
          <w:rFonts w:ascii="David" w:hAnsi="David"/>
          <w:sz w:val="16"/>
          <w:szCs w:val="16"/>
        </w:rPr>
      </w:pPr>
    </w:p>
    <w:p w:rsidR="00631D0D" w:rsidRDefault="00631D0D" w:rsidP="007E371D">
      <w:pPr>
        <w:pStyle w:val="ad"/>
        <w:numPr>
          <w:ilvl w:val="0"/>
          <w:numId w:val="1"/>
        </w:numPr>
        <w:bidi/>
        <w:spacing w:line="360" w:lineRule="auto"/>
        <w:ind w:left="567" w:hanging="564"/>
        <w:contextualSpacing w:val="0"/>
        <w:jc w:val="both"/>
        <w:rPr>
          <w:rFonts w:ascii="David" w:hAnsi="David"/>
        </w:rPr>
      </w:pPr>
      <w:r>
        <w:rPr>
          <w:rFonts w:ascii="David" w:hAnsi="David"/>
          <w:rtl/>
        </w:rPr>
        <w:t>להלן אבחן את שלוש טענות ההתנגדות: אי כשירות, השפעה בלתי הוגנת ומעורבות.</w:t>
      </w:r>
    </w:p>
    <w:p w:rsidR="00070806" w:rsidRPr="00070806" w:rsidRDefault="00070806" w:rsidP="00070806">
      <w:pPr>
        <w:pStyle w:val="ad"/>
        <w:bidi/>
        <w:spacing w:line="360" w:lineRule="auto"/>
        <w:ind w:left="567"/>
        <w:contextualSpacing w:val="0"/>
        <w:jc w:val="both"/>
        <w:rPr>
          <w:rFonts w:ascii="David" w:hAnsi="David"/>
          <w:sz w:val="16"/>
          <w:szCs w:val="16"/>
        </w:rPr>
      </w:pPr>
    </w:p>
    <w:p w:rsidR="00631D0D" w:rsidRDefault="00631D0D" w:rsidP="00D340D1">
      <w:pPr>
        <w:bidi/>
        <w:spacing w:line="360" w:lineRule="auto"/>
        <w:jc w:val="both"/>
        <w:rPr>
          <w:rFonts w:ascii="David" w:hAnsi="David"/>
          <w:b/>
          <w:bCs/>
          <w:rtl/>
        </w:rPr>
      </w:pPr>
      <w:r>
        <w:rPr>
          <w:rFonts w:ascii="David" w:hAnsi="David"/>
          <w:b/>
          <w:bCs/>
          <w:rtl/>
        </w:rPr>
        <w:t xml:space="preserve">ג.1. – האם היה המנוח כשיר לצוות בעת שחתם על הצוואה? </w:t>
      </w:r>
    </w:p>
    <w:p w:rsidR="00070806" w:rsidRPr="00070806" w:rsidRDefault="00070806" w:rsidP="00070806">
      <w:pPr>
        <w:bidi/>
        <w:spacing w:line="360" w:lineRule="auto"/>
        <w:jc w:val="both"/>
        <w:rPr>
          <w:rFonts w:ascii="David" w:hAnsi="David"/>
          <w:b/>
          <w:bCs/>
          <w:sz w:val="16"/>
          <w:szCs w:val="16"/>
        </w:rPr>
      </w:pPr>
    </w:p>
    <w:p w:rsidR="00631D0D" w:rsidRDefault="00631D0D" w:rsidP="008060A3">
      <w:pPr>
        <w:pStyle w:val="ad"/>
        <w:numPr>
          <w:ilvl w:val="0"/>
          <w:numId w:val="1"/>
        </w:numPr>
        <w:bidi/>
        <w:spacing w:line="360" w:lineRule="auto"/>
        <w:ind w:left="567" w:hanging="561"/>
        <w:contextualSpacing w:val="0"/>
        <w:jc w:val="both"/>
        <w:rPr>
          <w:rFonts w:ascii="David" w:hAnsi="David"/>
          <w:rtl/>
        </w:rPr>
      </w:pPr>
      <w:bookmarkStart w:id="3" w:name="_Ref167799242"/>
      <w:r>
        <w:rPr>
          <w:rFonts w:ascii="David" w:hAnsi="David"/>
          <w:rtl/>
        </w:rPr>
        <w:t>סעיף 26 לחוק מורה כי: "</w:t>
      </w:r>
      <w:r>
        <w:rPr>
          <w:rFonts w:ascii="David" w:hAnsi="David"/>
          <w:b/>
          <w:bCs/>
          <w:rtl/>
        </w:rPr>
        <w:t>צוואה שנעשתה על ידי קטין או על ידי מי שהוכרז פסול-דין או שנעשתה בשעה שהמצווה לא ידע להבחין בטיבה של צוואה – בטלה</w:t>
      </w:r>
      <w:r>
        <w:rPr>
          <w:rFonts w:ascii="David" w:hAnsi="David"/>
          <w:rtl/>
        </w:rPr>
        <w:t xml:space="preserve">". בפסיקה פורשה ידיעת המצווה להבחין בטיבה של צוואה כמשמעותה בסעיף 26 לחוק כהבנת המצווה בעת עריכת הצוואה שהוא חותם על צוואה, שהוא מצווה את רכושו ולמי הוא מצווה אותו, ידיעת המצווה את היקף רכושו ומודעותו בעת עריכת הצוואה לציפיותיהם של המוטבים בצוואתו ושל המודרים ממנה (ר' ע"א 5185/93 </w:t>
      </w:r>
      <w:r>
        <w:rPr>
          <w:rFonts w:ascii="David" w:hAnsi="David"/>
          <w:b/>
          <w:bCs/>
          <w:rtl/>
        </w:rPr>
        <w:t>היועץ המשפטי לממשלה נ' מרום</w:t>
      </w:r>
      <w:r>
        <w:rPr>
          <w:rFonts w:ascii="David" w:hAnsi="David"/>
          <w:rtl/>
        </w:rPr>
        <w:t xml:space="preserve">, פ"ד מט(1) 318, 328 ב-ג (1995), להלן: </w:t>
      </w:r>
      <w:r w:rsidR="00070806">
        <w:rPr>
          <w:rFonts w:ascii="Miriam" w:hAnsi="Miriam" w:cs="Miriam" w:hint="cs"/>
          <w:b/>
          <w:bCs/>
          <w:sz w:val="22"/>
          <w:szCs w:val="22"/>
          <w:rtl/>
        </w:rPr>
        <w:t>עניין מרום</w:t>
      </w:r>
      <w:r>
        <w:rPr>
          <w:rFonts w:ascii="David" w:hAnsi="David"/>
          <w:rtl/>
        </w:rPr>
        <w:t>).</w:t>
      </w:r>
      <w:bookmarkEnd w:id="3"/>
    </w:p>
    <w:p w:rsidR="00631D0D" w:rsidRDefault="00631D0D" w:rsidP="008060A3">
      <w:pPr>
        <w:pStyle w:val="ad"/>
        <w:numPr>
          <w:ilvl w:val="0"/>
          <w:numId w:val="1"/>
        </w:numPr>
        <w:bidi/>
        <w:spacing w:line="360" w:lineRule="auto"/>
        <w:ind w:left="567" w:hanging="561"/>
        <w:contextualSpacing w:val="0"/>
        <w:jc w:val="both"/>
        <w:rPr>
          <w:rFonts w:ascii="David" w:hAnsi="David"/>
        </w:rPr>
      </w:pPr>
      <w:r>
        <w:rPr>
          <w:rFonts w:ascii="David" w:hAnsi="David"/>
          <w:rtl/>
        </w:rPr>
        <w:lastRenderedPageBreak/>
        <w:t>בבחינת ידיעת המצווה להבחין בטיבה של צוואה, המשקל הרב ביותר יינתן לחומר ראייתי מיום עריכת הצוואה. כפי שנקבע בעניין מרום, "</w:t>
      </w:r>
      <w:r>
        <w:rPr>
          <w:rFonts w:ascii="David" w:hAnsi="David"/>
          <w:b/>
          <w:bCs/>
          <w:rtl/>
        </w:rPr>
        <w:t xml:space="preserve">הכרזה על בטלותה של צוואה הינה מעשה </w:t>
      </w:r>
      <w:r w:rsidRPr="008060A3">
        <w:rPr>
          <w:rFonts w:ascii="David" w:hAnsi="David"/>
          <w:b/>
          <w:bCs/>
          <w:u w:val="single"/>
          <w:rtl/>
        </w:rPr>
        <w:t>חמור וכבד משקל</w:t>
      </w:r>
      <w:r>
        <w:rPr>
          <w:rFonts w:ascii="David" w:hAnsi="David"/>
          <w:b/>
          <w:bCs/>
          <w:rtl/>
        </w:rPr>
        <w:t xml:space="preserve">, ועד שיסיק כי פלוני לא ידע להבחין בטיבה של צוואה, ידרוש בית המשפט ראיות ספציפיות יותר וחד-משמעיות יותר - </w:t>
      </w:r>
      <w:r>
        <w:rPr>
          <w:rFonts w:ascii="David" w:hAnsi="David"/>
          <w:b/>
          <w:bCs/>
          <w:u w:val="single"/>
          <w:rtl/>
        </w:rPr>
        <w:t>וליום עריכת הצוואה דווקא</w:t>
      </w:r>
      <w:r w:rsidR="008C4E4B">
        <w:rPr>
          <w:rFonts w:ascii="David" w:hAnsi="David"/>
          <w:rtl/>
        </w:rPr>
        <w:t xml:space="preserve">" (שם, עמ' 328 ו-ז, </w:t>
      </w:r>
      <w:r>
        <w:rPr>
          <w:rFonts w:ascii="David" w:hAnsi="David"/>
          <w:rtl/>
        </w:rPr>
        <w:t>הדגש</w:t>
      </w:r>
      <w:r w:rsidR="008060A3">
        <w:rPr>
          <w:rFonts w:ascii="David" w:hAnsi="David" w:hint="cs"/>
          <w:rtl/>
        </w:rPr>
        <w:t>ות</w:t>
      </w:r>
      <w:r>
        <w:rPr>
          <w:rFonts w:ascii="David" w:hAnsi="David"/>
          <w:rtl/>
        </w:rPr>
        <w:t xml:space="preserve"> </w:t>
      </w:r>
      <w:r w:rsidR="008C4E4B">
        <w:rPr>
          <w:rFonts w:ascii="David" w:hAnsi="David" w:hint="cs"/>
          <w:rtl/>
        </w:rPr>
        <w:t>לא</w:t>
      </w:r>
      <w:r>
        <w:rPr>
          <w:rFonts w:ascii="David" w:hAnsi="David"/>
          <w:rtl/>
        </w:rPr>
        <w:t xml:space="preserve"> במקור).  </w:t>
      </w:r>
    </w:p>
    <w:p w:rsidR="008060A3" w:rsidRPr="008060A3" w:rsidRDefault="008060A3" w:rsidP="008060A3">
      <w:pPr>
        <w:pStyle w:val="ad"/>
        <w:bidi/>
        <w:spacing w:line="360" w:lineRule="auto"/>
        <w:ind w:left="567"/>
        <w:contextualSpacing w:val="0"/>
        <w:jc w:val="both"/>
        <w:rPr>
          <w:rFonts w:ascii="David" w:hAnsi="David"/>
          <w:sz w:val="16"/>
          <w:szCs w:val="16"/>
        </w:rPr>
      </w:pPr>
    </w:p>
    <w:p w:rsidR="00631D0D" w:rsidRDefault="00631D0D" w:rsidP="008060A3">
      <w:pPr>
        <w:pStyle w:val="ad"/>
        <w:numPr>
          <w:ilvl w:val="0"/>
          <w:numId w:val="1"/>
        </w:numPr>
        <w:bidi/>
        <w:spacing w:line="360" w:lineRule="auto"/>
        <w:ind w:left="567" w:hanging="561"/>
        <w:contextualSpacing w:val="0"/>
        <w:jc w:val="both"/>
        <w:rPr>
          <w:rFonts w:ascii="David" w:hAnsi="David"/>
        </w:rPr>
      </w:pPr>
      <w:r w:rsidRPr="008060A3">
        <w:rPr>
          <w:rFonts w:ascii="David" w:hAnsi="David"/>
          <w:rtl/>
        </w:rPr>
        <w:t>מן הכלל אל הפרט</w:t>
      </w:r>
      <w:r w:rsidR="008060A3">
        <w:rPr>
          <w:rFonts w:ascii="David" w:hAnsi="David" w:hint="cs"/>
          <w:rtl/>
        </w:rPr>
        <w:t>;</w:t>
      </w:r>
      <w:r w:rsidRPr="008060A3">
        <w:rPr>
          <w:rFonts w:ascii="David" w:hAnsi="David"/>
          <w:rtl/>
        </w:rPr>
        <w:t xml:space="preserve"> מכלול הראיות והעדויות מלמד כי אין חולק על כך שחלה הידרדרות משמעותית ומואצת במצבו של המנוח בתקופה שבין מועד עריכת הצוואה ועד למועד פטירתו המצערת. שאלת מצבו הבריאותי והנפשי של המנוח בחודשים שקדמו לעריכת הצוואה ועד ליום עריכתה, וכמובן במהלכו, היא שעומדת על הפרק ואכן הובאו בפניי ממצאים רבים לעניין זה. </w:t>
      </w:r>
    </w:p>
    <w:p w:rsidR="008060A3" w:rsidRPr="008060A3" w:rsidRDefault="008060A3" w:rsidP="008060A3">
      <w:pPr>
        <w:pStyle w:val="ad"/>
        <w:rPr>
          <w:rFonts w:ascii="David" w:hAnsi="David"/>
          <w:sz w:val="16"/>
          <w:szCs w:val="16"/>
          <w:rtl/>
        </w:rPr>
      </w:pPr>
    </w:p>
    <w:p w:rsidR="008060A3" w:rsidRDefault="00631D0D" w:rsidP="008060A3">
      <w:pPr>
        <w:pStyle w:val="ad"/>
        <w:numPr>
          <w:ilvl w:val="0"/>
          <w:numId w:val="1"/>
        </w:numPr>
        <w:bidi/>
        <w:spacing w:line="360" w:lineRule="auto"/>
        <w:ind w:left="567" w:hanging="561"/>
        <w:contextualSpacing w:val="0"/>
        <w:jc w:val="both"/>
        <w:rPr>
          <w:rFonts w:ascii="David" w:hAnsi="David"/>
        </w:rPr>
      </w:pPr>
      <w:r w:rsidRPr="008060A3">
        <w:rPr>
          <w:rFonts w:ascii="David" w:hAnsi="David"/>
          <w:rtl/>
        </w:rPr>
        <w:t xml:space="preserve">משהובהר כי "דרך המלך" לבחינת ידיעת המנוח להבחין בטיבה של צוואה היא התמקדות בראיות לעניין יום עריכתה, אראה כי יישום הפרשנות הפסיקתית כאמור בסעיף </w:t>
      </w:r>
      <w:r w:rsidRPr="008060A3">
        <w:rPr>
          <w:rFonts w:ascii="David" w:hAnsi="David"/>
          <w:rtl/>
        </w:rPr>
        <w:fldChar w:fldCharType="begin"/>
      </w:r>
      <w:r w:rsidRPr="008060A3">
        <w:rPr>
          <w:rFonts w:ascii="David" w:hAnsi="David"/>
          <w:rtl/>
        </w:rPr>
        <w:instrText xml:space="preserve"> </w:instrText>
      </w:r>
      <w:r w:rsidRPr="008060A3">
        <w:rPr>
          <w:rFonts w:ascii="David" w:hAnsi="David"/>
        </w:rPr>
        <w:instrText>REF</w:instrText>
      </w:r>
      <w:r w:rsidRPr="008060A3">
        <w:rPr>
          <w:rFonts w:ascii="David" w:hAnsi="David"/>
          <w:rtl/>
        </w:rPr>
        <w:instrText xml:space="preserve"> _</w:instrText>
      </w:r>
      <w:r w:rsidRPr="008060A3">
        <w:rPr>
          <w:rFonts w:ascii="David" w:hAnsi="David"/>
        </w:rPr>
        <w:instrText>Ref167799242 \r \h</w:instrText>
      </w:r>
      <w:r w:rsidRPr="008060A3">
        <w:rPr>
          <w:rFonts w:ascii="David" w:hAnsi="David"/>
          <w:rtl/>
        </w:rPr>
        <w:instrText xml:space="preserve"> </w:instrText>
      </w:r>
      <w:r w:rsidRPr="008060A3">
        <w:rPr>
          <w:rFonts w:ascii="David" w:hAnsi="David"/>
          <w:rtl/>
        </w:rPr>
      </w:r>
      <w:r w:rsidRPr="008060A3">
        <w:rPr>
          <w:rFonts w:ascii="David" w:hAnsi="David"/>
          <w:rtl/>
        </w:rPr>
        <w:fldChar w:fldCharType="separate"/>
      </w:r>
      <w:r w:rsidR="008060A3">
        <w:rPr>
          <w:rFonts w:ascii="David" w:hAnsi="David"/>
          <w:cs/>
        </w:rPr>
        <w:t>‎</w:t>
      </w:r>
      <w:r w:rsidR="008060A3">
        <w:rPr>
          <w:rFonts w:ascii="David" w:hAnsi="David"/>
        </w:rPr>
        <w:t>17</w:t>
      </w:r>
      <w:r w:rsidRPr="008060A3">
        <w:rPr>
          <w:rFonts w:ascii="David" w:hAnsi="David"/>
          <w:rtl/>
        </w:rPr>
        <w:fldChar w:fldCharType="end"/>
      </w:r>
      <w:r w:rsidRPr="008060A3">
        <w:rPr>
          <w:rFonts w:ascii="David" w:hAnsi="David"/>
          <w:rtl/>
        </w:rPr>
        <w:t xml:space="preserve"> לעיל על המנוח </w:t>
      </w:r>
      <w:r w:rsidRPr="008060A3">
        <w:rPr>
          <w:rFonts w:ascii="David" w:hAnsi="David"/>
          <w:u w:val="single"/>
          <w:rtl/>
        </w:rPr>
        <w:t>ביום עריכת הצוואה, הוא יום 3.2.2021</w:t>
      </w:r>
      <w:r w:rsidRPr="008060A3">
        <w:rPr>
          <w:rFonts w:ascii="David" w:hAnsi="David"/>
          <w:rtl/>
        </w:rPr>
        <w:t>, מלמד כי ידע הוא להבחין בטיבה של צוואה. זאת, בראי חוות דעתו של הפסיכיאטר ד"ר רוזנברג מ</w:t>
      </w:r>
      <w:r w:rsidR="008060A3">
        <w:rPr>
          <w:rFonts w:ascii="David" w:hAnsi="David" w:hint="cs"/>
          <w:rtl/>
        </w:rPr>
        <w:t>אותו היום (</w:t>
      </w:r>
      <w:r w:rsidRPr="008060A3">
        <w:rPr>
          <w:rFonts w:ascii="David" w:hAnsi="David"/>
          <w:rtl/>
        </w:rPr>
        <w:t>3.2.2021</w:t>
      </w:r>
      <w:r w:rsidR="008060A3">
        <w:rPr>
          <w:rFonts w:ascii="David" w:hAnsi="David" w:hint="cs"/>
          <w:rtl/>
        </w:rPr>
        <w:t>),</w:t>
      </w:r>
      <w:r w:rsidRPr="008060A3">
        <w:rPr>
          <w:rFonts w:ascii="David" w:hAnsi="David"/>
          <w:rtl/>
        </w:rPr>
        <w:t xml:space="preserve"> סרטון הוידיאו המתעד את המנוח במועד חתימתו על הצוואה (בסעיף זה: </w:t>
      </w:r>
      <w:r w:rsidR="008060A3" w:rsidRPr="007E371D">
        <w:rPr>
          <w:rFonts w:ascii="Miriam" w:hAnsi="Miriam" w:cs="Miriam"/>
          <w:b/>
          <w:bCs/>
          <w:sz w:val="22"/>
          <w:szCs w:val="22"/>
          <w:rtl/>
        </w:rPr>
        <w:t>ה</w:t>
      </w:r>
      <w:r w:rsidR="008060A3">
        <w:rPr>
          <w:rFonts w:ascii="Miriam" w:hAnsi="Miriam" w:cs="Miriam" w:hint="cs"/>
          <w:b/>
          <w:bCs/>
          <w:sz w:val="22"/>
          <w:szCs w:val="22"/>
          <w:rtl/>
        </w:rPr>
        <w:t>סרטון</w:t>
      </w:r>
      <w:r w:rsidRPr="008060A3">
        <w:rPr>
          <w:rFonts w:ascii="David" w:hAnsi="David"/>
          <w:rtl/>
        </w:rPr>
        <w:t>), ומכלול העדויות לעניין יום עריכת הצוואה</w:t>
      </w:r>
      <w:r w:rsidR="008060A3">
        <w:rPr>
          <w:rFonts w:ascii="David" w:hAnsi="David" w:hint="cs"/>
          <w:rtl/>
        </w:rPr>
        <w:t>, כפי שיובא להלן:</w:t>
      </w:r>
    </w:p>
    <w:p w:rsidR="00631D0D" w:rsidRPr="004E64FB" w:rsidRDefault="00631D0D" w:rsidP="008060A3">
      <w:pPr>
        <w:pStyle w:val="ad"/>
        <w:bidi/>
        <w:spacing w:line="360" w:lineRule="auto"/>
        <w:ind w:left="567"/>
        <w:contextualSpacing w:val="0"/>
        <w:jc w:val="both"/>
        <w:rPr>
          <w:rFonts w:ascii="David" w:hAnsi="David"/>
          <w:sz w:val="16"/>
          <w:szCs w:val="16"/>
        </w:rPr>
      </w:pPr>
      <w:r w:rsidRPr="008060A3">
        <w:rPr>
          <w:rFonts w:ascii="David" w:hAnsi="David"/>
          <w:rtl/>
        </w:rPr>
        <w:t xml:space="preserve"> </w:t>
      </w:r>
    </w:p>
    <w:p w:rsidR="00631D0D" w:rsidRDefault="00631D0D" w:rsidP="008060A3">
      <w:pPr>
        <w:pStyle w:val="ad"/>
        <w:numPr>
          <w:ilvl w:val="0"/>
          <w:numId w:val="5"/>
        </w:numPr>
        <w:bidi/>
        <w:spacing w:line="360" w:lineRule="auto"/>
        <w:ind w:hanging="513"/>
        <w:contextualSpacing w:val="0"/>
        <w:jc w:val="both"/>
        <w:rPr>
          <w:rFonts w:ascii="David" w:hAnsi="David"/>
        </w:rPr>
      </w:pPr>
      <w:r w:rsidRPr="008060A3">
        <w:rPr>
          <w:rFonts w:ascii="David" w:hAnsi="David"/>
          <w:u w:val="single"/>
          <w:rtl/>
        </w:rPr>
        <w:t>הבנת המנוח כי הוא חותם על צוואה</w:t>
      </w:r>
      <w:r w:rsidR="008060A3">
        <w:rPr>
          <w:rFonts w:ascii="David" w:hAnsi="David" w:hint="cs"/>
          <w:rtl/>
        </w:rPr>
        <w:t xml:space="preserve"> - </w:t>
      </w:r>
      <w:r w:rsidRPr="008060A3">
        <w:rPr>
          <w:rFonts w:ascii="David" w:hAnsi="David"/>
          <w:rtl/>
        </w:rPr>
        <w:t>בחוות דעתו ציין ד"ר רוזנברג כי המנוח "</w:t>
      </w:r>
      <w:r w:rsidRPr="008060A3">
        <w:rPr>
          <w:rFonts w:ascii="David" w:hAnsi="David"/>
          <w:b/>
          <w:bCs/>
          <w:rtl/>
        </w:rPr>
        <w:t>במודע צלול</w:t>
      </w:r>
      <w:r w:rsidRPr="008060A3">
        <w:rPr>
          <w:rFonts w:ascii="David" w:hAnsi="David"/>
          <w:rtl/>
        </w:rPr>
        <w:t xml:space="preserve"> [...] </w:t>
      </w:r>
      <w:r w:rsidRPr="008060A3">
        <w:rPr>
          <w:rFonts w:ascii="David" w:hAnsi="David"/>
          <w:b/>
          <w:bCs/>
          <w:rtl/>
        </w:rPr>
        <w:t>התמצאות תקינה בכל המובנים, דיבר לעניין</w:t>
      </w:r>
      <w:r w:rsidRPr="008060A3">
        <w:rPr>
          <w:rFonts w:ascii="David" w:hAnsi="David"/>
          <w:rtl/>
        </w:rPr>
        <w:t xml:space="preserve"> [...] </w:t>
      </w:r>
      <w:r w:rsidRPr="008060A3">
        <w:rPr>
          <w:rFonts w:ascii="David" w:hAnsi="David"/>
          <w:b/>
          <w:bCs/>
          <w:rtl/>
        </w:rPr>
        <w:t>לא נמצאו הפרעות בתוכן ומהלך החשיבה</w:t>
      </w:r>
      <w:r w:rsidRPr="008060A3">
        <w:rPr>
          <w:rFonts w:ascii="David" w:hAnsi="David"/>
          <w:rtl/>
        </w:rPr>
        <w:t>". כן העיד ד"ר רוזנברג כי ביצע למנוח בדיקת מיני מנטל וזה קיבל ציון של 28 מתוך 30 (ר' פרוטוקול מיום 22.6.2023, עמ' 107 ש' 32 – עמ' 108 ש' 1). בסרטון, נשאל המנוח "</w:t>
      </w:r>
      <w:r w:rsidRPr="008060A3">
        <w:rPr>
          <w:rFonts w:ascii="David" w:hAnsi="David"/>
          <w:b/>
          <w:bCs/>
          <w:rtl/>
        </w:rPr>
        <w:t>עשית בדעה חופשית וצלולה?</w:t>
      </w:r>
      <w:r w:rsidRPr="008060A3">
        <w:rPr>
          <w:rFonts w:ascii="David" w:hAnsi="David"/>
          <w:rtl/>
        </w:rPr>
        <w:t>" והוא מאשר "</w:t>
      </w:r>
      <w:r w:rsidRPr="008060A3">
        <w:rPr>
          <w:rFonts w:ascii="David" w:hAnsi="David"/>
          <w:b/>
          <w:bCs/>
          <w:rtl/>
        </w:rPr>
        <w:t>בדעה חופשית וצלולה</w:t>
      </w:r>
      <w:r w:rsidRPr="008060A3">
        <w:rPr>
          <w:rFonts w:ascii="David" w:hAnsi="David"/>
          <w:rtl/>
        </w:rPr>
        <w:t>". בחוות דעת המומחה מטעם בית המשפט מתייחס הוא לתיעוד המנוח בסרטון, כך:"</w:t>
      </w:r>
      <w:r w:rsidRPr="008060A3">
        <w:rPr>
          <w:rFonts w:ascii="David" w:hAnsi="David"/>
          <w:b/>
          <w:bCs/>
          <w:rtl/>
        </w:rPr>
        <w:t>קולו נשמע ברור והחלטי</w:t>
      </w:r>
      <w:r w:rsidRPr="008060A3">
        <w:rPr>
          <w:rFonts w:ascii="David" w:hAnsi="David"/>
          <w:rtl/>
        </w:rPr>
        <w:t xml:space="preserve"> [...] </w:t>
      </w:r>
      <w:r w:rsidRPr="008060A3">
        <w:rPr>
          <w:rFonts w:ascii="David" w:hAnsi="David"/>
          <w:b/>
          <w:bCs/>
          <w:rtl/>
        </w:rPr>
        <w:t>לא נראה שרוי במצב פסיכוטי</w:t>
      </w:r>
      <w:r w:rsidRPr="008060A3">
        <w:rPr>
          <w:rFonts w:ascii="David" w:hAnsi="David"/>
          <w:rtl/>
        </w:rPr>
        <w:t xml:space="preserve"> [...] </w:t>
      </w:r>
      <w:r w:rsidRPr="008060A3">
        <w:rPr>
          <w:rFonts w:ascii="David" w:hAnsi="David"/>
          <w:b/>
          <w:bCs/>
          <w:rtl/>
        </w:rPr>
        <w:t>מתקבל הרושם שיודע על מה חתם"</w:t>
      </w:r>
      <w:r w:rsidRPr="008060A3">
        <w:rPr>
          <w:rFonts w:ascii="David" w:hAnsi="David"/>
          <w:rtl/>
        </w:rPr>
        <w:t>.</w:t>
      </w:r>
    </w:p>
    <w:p w:rsidR="008060A3" w:rsidRPr="004E64FB" w:rsidRDefault="008060A3" w:rsidP="008060A3">
      <w:pPr>
        <w:pStyle w:val="ad"/>
        <w:bidi/>
        <w:spacing w:line="360" w:lineRule="auto"/>
        <w:ind w:left="1080"/>
        <w:contextualSpacing w:val="0"/>
        <w:jc w:val="both"/>
        <w:rPr>
          <w:rFonts w:ascii="David" w:hAnsi="David"/>
          <w:sz w:val="16"/>
          <w:szCs w:val="16"/>
        </w:rPr>
      </w:pPr>
    </w:p>
    <w:p w:rsidR="00631D0D" w:rsidRPr="004E64FB" w:rsidRDefault="00631D0D" w:rsidP="000A1F4B">
      <w:pPr>
        <w:pStyle w:val="ad"/>
        <w:numPr>
          <w:ilvl w:val="0"/>
          <w:numId w:val="5"/>
        </w:numPr>
        <w:bidi/>
        <w:spacing w:line="360" w:lineRule="auto"/>
        <w:ind w:hanging="513"/>
        <w:contextualSpacing w:val="0"/>
        <w:jc w:val="both"/>
        <w:rPr>
          <w:rFonts w:ascii="David" w:hAnsi="David"/>
          <w:u w:val="single"/>
        </w:rPr>
      </w:pPr>
      <w:r>
        <w:rPr>
          <w:rFonts w:ascii="David" w:hAnsi="David"/>
          <w:u w:val="single"/>
          <w:rtl/>
        </w:rPr>
        <w:t>הבנת המנוח כי הוא מצווה את רכושו ולמי הוא מצווה אותו</w:t>
      </w:r>
      <w:r>
        <w:rPr>
          <w:rFonts w:ascii="David" w:hAnsi="David"/>
          <w:rtl/>
        </w:rPr>
        <w:t xml:space="preserve"> </w:t>
      </w:r>
      <w:r w:rsidR="008060A3">
        <w:rPr>
          <w:rFonts w:ascii="David" w:hAnsi="David" w:hint="cs"/>
          <w:rtl/>
        </w:rPr>
        <w:t xml:space="preserve">- </w:t>
      </w:r>
      <w:r w:rsidRPr="008060A3">
        <w:rPr>
          <w:rFonts w:ascii="David" w:hAnsi="David"/>
          <w:rtl/>
        </w:rPr>
        <w:t>בחוות דעתו ציין ד"ר רוזנברג כי למנוח "</w:t>
      </w:r>
      <w:r w:rsidRPr="008060A3">
        <w:rPr>
          <w:rFonts w:ascii="David" w:hAnsi="David"/>
          <w:b/>
          <w:bCs/>
          <w:rtl/>
        </w:rPr>
        <w:t>שיפוט תקין</w:t>
      </w:r>
      <w:r w:rsidRPr="008060A3">
        <w:rPr>
          <w:rFonts w:ascii="David" w:hAnsi="David"/>
          <w:rtl/>
        </w:rPr>
        <w:t>". בנוסף, על הפרטים האישיים אשר ציין ד"ר רוזנברג בחוות הדעת כי נמסרו לו מפי המנוח, נמנית ה</w:t>
      </w:r>
      <w:r w:rsidR="00534802" w:rsidRPr="008060A3">
        <w:rPr>
          <w:rFonts w:ascii="David" w:hAnsi="David" w:hint="cs"/>
          <w:rtl/>
        </w:rPr>
        <w:t>אשה</w:t>
      </w:r>
      <w:r w:rsidRPr="008060A3">
        <w:rPr>
          <w:rFonts w:ascii="David" w:hAnsi="David"/>
          <w:rtl/>
        </w:rPr>
        <w:t xml:space="preserve"> ("</w:t>
      </w:r>
      <w:r w:rsidRPr="008060A3">
        <w:rPr>
          <w:rFonts w:ascii="David" w:hAnsi="David"/>
          <w:b/>
          <w:bCs/>
          <w:rtl/>
        </w:rPr>
        <w:t>מתגורר עם בת זוגו</w:t>
      </w:r>
      <w:r w:rsidRPr="008060A3">
        <w:rPr>
          <w:rFonts w:ascii="David" w:hAnsi="David"/>
          <w:rtl/>
        </w:rPr>
        <w:t xml:space="preserve">") ומכאן שהמנוח היה מודע לזהותה ביום בו ציווה לה את רכושו. בסרטון מתועד המנוח </w:t>
      </w:r>
      <w:r w:rsidR="00C22376" w:rsidRPr="008060A3">
        <w:rPr>
          <w:rFonts w:ascii="David" w:hAnsi="David" w:hint="cs"/>
          <w:rtl/>
        </w:rPr>
        <w:t xml:space="preserve">כאשר הוא מקריא את נוסח הצוואה לפיו </w:t>
      </w:r>
      <w:r w:rsidRPr="008060A3">
        <w:rPr>
          <w:rFonts w:ascii="David" w:hAnsi="David"/>
          <w:rtl/>
        </w:rPr>
        <w:t>"</w:t>
      </w:r>
      <w:r w:rsidRPr="008060A3">
        <w:rPr>
          <w:rFonts w:ascii="David" w:hAnsi="David"/>
          <w:b/>
          <w:bCs/>
          <w:rtl/>
        </w:rPr>
        <w:t xml:space="preserve">אני מצווה את כל רכושי מכל מין וסוג שהוא לבת זוגי </w:t>
      </w:r>
      <w:r w:rsidR="000A1F4B">
        <w:rPr>
          <w:rFonts w:ascii="David" w:hAnsi="David" w:hint="cs"/>
          <w:b/>
          <w:bCs/>
          <w:rtl/>
        </w:rPr>
        <w:t>[האשה]</w:t>
      </w:r>
      <w:r w:rsidRPr="008060A3">
        <w:rPr>
          <w:rFonts w:ascii="David" w:hAnsi="David"/>
          <w:rtl/>
        </w:rPr>
        <w:t xml:space="preserve">". </w:t>
      </w:r>
    </w:p>
    <w:p w:rsidR="004E64FB" w:rsidRPr="004E64FB" w:rsidRDefault="004E64FB" w:rsidP="004E64FB">
      <w:pPr>
        <w:pStyle w:val="ad"/>
        <w:rPr>
          <w:rFonts w:ascii="David" w:hAnsi="David"/>
          <w:sz w:val="16"/>
          <w:szCs w:val="16"/>
          <w:u w:val="single"/>
          <w:rtl/>
        </w:rPr>
      </w:pPr>
    </w:p>
    <w:p w:rsidR="00631D0D" w:rsidRDefault="00631D0D" w:rsidP="004E64FB">
      <w:pPr>
        <w:pStyle w:val="ad"/>
        <w:numPr>
          <w:ilvl w:val="0"/>
          <w:numId w:val="5"/>
        </w:numPr>
        <w:bidi/>
        <w:spacing w:line="360" w:lineRule="auto"/>
        <w:ind w:hanging="513"/>
        <w:contextualSpacing w:val="0"/>
        <w:jc w:val="both"/>
        <w:rPr>
          <w:rFonts w:ascii="David" w:hAnsi="David"/>
          <w:u w:val="single"/>
        </w:rPr>
      </w:pPr>
      <w:r w:rsidRPr="004E64FB">
        <w:rPr>
          <w:rFonts w:ascii="David" w:hAnsi="David"/>
          <w:u w:val="single"/>
          <w:rtl/>
        </w:rPr>
        <w:t>מודעות המנוח להיקף רכושו</w:t>
      </w:r>
      <w:r w:rsidRPr="004E64FB">
        <w:rPr>
          <w:rFonts w:ascii="David" w:hAnsi="David"/>
          <w:rtl/>
        </w:rPr>
        <w:t xml:space="preserve"> </w:t>
      </w:r>
      <w:r w:rsidR="004E64FB" w:rsidRPr="004E64FB">
        <w:rPr>
          <w:rFonts w:ascii="David" w:hAnsi="David" w:hint="cs"/>
          <w:rtl/>
        </w:rPr>
        <w:t>-</w:t>
      </w:r>
      <w:r w:rsidR="004E64FB">
        <w:rPr>
          <w:rFonts w:ascii="David" w:hAnsi="David" w:hint="cs"/>
          <w:rtl/>
        </w:rPr>
        <w:t xml:space="preserve"> </w:t>
      </w:r>
      <w:r w:rsidRPr="004E64FB">
        <w:rPr>
          <w:rFonts w:ascii="David" w:hAnsi="David"/>
          <w:rtl/>
        </w:rPr>
        <w:t xml:space="preserve">כאמור, בסרטון </w:t>
      </w:r>
      <w:r w:rsidR="004E64FB">
        <w:rPr>
          <w:rFonts w:ascii="David" w:hAnsi="David" w:hint="cs"/>
          <w:rtl/>
        </w:rPr>
        <w:t xml:space="preserve">נשמע </w:t>
      </w:r>
      <w:r w:rsidRPr="004E64FB">
        <w:rPr>
          <w:rFonts w:ascii="David" w:hAnsi="David"/>
          <w:rtl/>
        </w:rPr>
        <w:t xml:space="preserve">המנוח </w:t>
      </w:r>
      <w:r w:rsidR="004E64FB">
        <w:rPr>
          <w:rFonts w:ascii="David" w:hAnsi="David" w:hint="cs"/>
          <w:rtl/>
        </w:rPr>
        <w:t xml:space="preserve">אומר </w:t>
      </w:r>
      <w:r w:rsidRPr="004E64FB">
        <w:rPr>
          <w:rFonts w:ascii="David" w:hAnsi="David"/>
          <w:rtl/>
        </w:rPr>
        <w:t>"</w:t>
      </w:r>
      <w:r w:rsidRPr="004E64FB">
        <w:rPr>
          <w:rFonts w:ascii="David" w:hAnsi="David"/>
          <w:b/>
          <w:bCs/>
          <w:rtl/>
        </w:rPr>
        <w:t>אני מצווה את כל רכושי מכל מין וסוג שהוא</w:t>
      </w:r>
      <w:r w:rsidRPr="004E64FB">
        <w:rPr>
          <w:rFonts w:ascii="David" w:hAnsi="David"/>
          <w:rtl/>
        </w:rPr>
        <w:t xml:space="preserve">". </w:t>
      </w:r>
    </w:p>
    <w:p w:rsidR="004E64FB" w:rsidRPr="004E64FB" w:rsidRDefault="004E64FB" w:rsidP="004E64FB">
      <w:pPr>
        <w:pStyle w:val="ad"/>
        <w:rPr>
          <w:rFonts w:ascii="David" w:hAnsi="David"/>
          <w:u w:val="single"/>
          <w:rtl/>
        </w:rPr>
      </w:pPr>
    </w:p>
    <w:p w:rsidR="004E64FB" w:rsidRPr="004E64FB" w:rsidRDefault="004E64FB" w:rsidP="004E64FB">
      <w:pPr>
        <w:bidi/>
        <w:spacing w:line="360" w:lineRule="auto"/>
        <w:jc w:val="both"/>
        <w:rPr>
          <w:rFonts w:ascii="David" w:hAnsi="David"/>
          <w:u w:val="single"/>
        </w:rPr>
      </w:pPr>
    </w:p>
    <w:p w:rsidR="00631D0D" w:rsidRPr="004E64FB" w:rsidRDefault="00631D0D" w:rsidP="004E64FB">
      <w:pPr>
        <w:pStyle w:val="ad"/>
        <w:numPr>
          <w:ilvl w:val="0"/>
          <w:numId w:val="5"/>
        </w:numPr>
        <w:bidi/>
        <w:spacing w:line="360" w:lineRule="auto"/>
        <w:ind w:hanging="513"/>
        <w:contextualSpacing w:val="0"/>
        <w:jc w:val="both"/>
        <w:rPr>
          <w:rFonts w:ascii="David" w:hAnsi="David"/>
          <w:u w:val="single"/>
          <w:rtl/>
        </w:rPr>
      </w:pPr>
      <w:r w:rsidRPr="004E64FB">
        <w:rPr>
          <w:rFonts w:ascii="David" w:hAnsi="David"/>
          <w:u w:val="single"/>
          <w:rtl/>
        </w:rPr>
        <w:lastRenderedPageBreak/>
        <w:t>מודעות המנוח לציפיותיהם של המוטבים בצוואתו ושל המודרים ממנה</w:t>
      </w:r>
      <w:r w:rsidRPr="004E64FB">
        <w:rPr>
          <w:rFonts w:ascii="David" w:hAnsi="David"/>
          <w:rtl/>
        </w:rPr>
        <w:t xml:space="preserve"> </w:t>
      </w:r>
      <w:r w:rsidR="004E64FB">
        <w:rPr>
          <w:rFonts w:ascii="David" w:hAnsi="David" w:hint="cs"/>
          <w:rtl/>
        </w:rPr>
        <w:t xml:space="preserve">- </w:t>
      </w:r>
      <w:r w:rsidRPr="004E64FB">
        <w:rPr>
          <w:rFonts w:ascii="David" w:hAnsi="David"/>
          <w:rtl/>
        </w:rPr>
        <w:t>המנוח היה מודע לזהות המוטבת בצוואתו והמודרים ממנה ביום עריכת הצוואה (על הפרטים האישיים אשר ציין ד"ר רוזנברג בחוות הדעת כי נמסרו לו מפי המנוח, נמנים ה</w:t>
      </w:r>
      <w:r w:rsidR="00534802" w:rsidRPr="004E64FB">
        <w:rPr>
          <w:rFonts w:ascii="David" w:hAnsi="David" w:hint="cs"/>
          <w:rtl/>
        </w:rPr>
        <w:t>אשה</w:t>
      </w:r>
      <w:r w:rsidRPr="004E64FB">
        <w:rPr>
          <w:rFonts w:ascii="David" w:hAnsi="David"/>
          <w:rtl/>
        </w:rPr>
        <w:t xml:space="preserve"> ("</w:t>
      </w:r>
      <w:r w:rsidRPr="004E64FB">
        <w:rPr>
          <w:rFonts w:ascii="David" w:hAnsi="David"/>
          <w:b/>
          <w:bCs/>
          <w:rtl/>
        </w:rPr>
        <w:t>מתגורר עם בת זוגו</w:t>
      </w:r>
      <w:r w:rsidRPr="004E64FB">
        <w:rPr>
          <w:rFonts w:ascii="David" w:hAnsi="David"/>
          <w:rtl/>
        </w:rPr>
        <w:t>") וה</w:t>
      </w:r>
      <w:r w:rsidR="00534802" w:rsidRPr="004E64FB">
        <w:rPr>
          <w:rFonts w:ascii="David" w:hAnsi="David" w:hint="cs"/>
          <w:rtl/>
        </w:rPr>
        <w:t>ילדים</w:t>
      </w:r>
      <w:r w:rsidRPr="004E64FB">
        <w:rPr>
          <w:rFonts w:ascii="David" w:hAnsi="David"/>
          <w:rtl/>
        </w:rPr>
        <w:t xml:space="preserve"> ("</w:t>
      </w:r>
      <w:r w:rsidRPr="004E64FB">
        <w:rPr>
          <w:rFonts w:ascii="David" w:hAnsi="David"/>
          <w:b/>
          <w:bCs/>
          <w:rtl/>
        </w:rPr>
        <w:t xml:space="preserve">מדובר בגבר </w:t>
      </w:r>
      <w:r w:rsidRPr="004E64FB">
        <w:rPr>
          <w:rFonts w:ascii="David" w:hAnsi="David"/>
          <w:rtl/>
        </w:rPr>
        <w:t>[...]</w:t>
      </w:r>
      <w:r w:rsidRPr="004E64FB">
        <w:rPr>
          <w:rFonts w:ascii="David" w:hAnsi="David"/>
          <w:b/>
          <w:bCs/>
          <w:rtl/>
        </w:rPr>
        <w:t xml:space="preserve"> ג+3</w:t>
      </w:r>
      <w:r w:rsidRPr="004E64FB">
        <w:rPr>
          <w:rFonts w:ascii="David" w:hAnsi="David"/>
          <w:rtl/>
        </w:rPr>
        <w:t xml:space="preserve"> [גרוש עם שלושה ילדים – י' ש']")). זאת ועוד, בחוות דעת המומחה מטעם בית המשפט מתייחס הוא לתיעוד המנוח בסרטון, כך:"</w:t>
      </w:r>
      <w:r w:rsidRPr="004E64FB">
        <w:rPr>
          <w:rFonts w:ascii="David" w:hAnsi="David"/>
          <w:b/>
          <w:bCs/>
          <w:rtl/>
        </w:rPr>
        <w:t xml:space="preserve">נוקב בשמה של בת זוגתו ושהיא מטפלת בו. יודע שיש לו 3 ילדים. </w:t>
      </w:r>
      <w:r w:rsidRPr="004E64FB">
        <w:rPr>
          <w:rFonts w:ascii="David" w:hAnsi="David"/>
          <w:rtl/>
        </w:rPr>
        <w:t xml:space="preserve">[...] </w:t>
      </w:r>
      <w:r w:rsidRPr="004E64FB">
        <w:rPr>
          <w:rFonts w:ascii="David" w:hAnsi="David"/>
          <w:b/>
          <w:bCs/>
          <w:rtl/>
        </w:rPr>
        <w:t>קובל על קשריו עם ילדיו</w:t>
      </w:r>
      <w:r w:rsidRPr="004E64FB">
        <w:rPr>
          <w:rFonts w:ascii="David" w:hAnsi="David"/>
          <w:rtl/>
        </w:rPr>
        <w:t xml:space="preserve"> [...] </w:t>
      </w:r>
      <w:r w:rsidRPr="004E64FB">
        <w:rPr>
          <w:rFonts w:ascii="David" w:hAnsi="David"/>
          <w:b/>
          <w:bCs/>
          <w:rtl/>
        </w:rPr>
        <w:t>מסביר בקצרה מדוע מבקש להוריש לבת זוגתו ולא לילדיו</w:t>
      </w:r>
      <w:r w:rsidRPr="004E64FB">
        <w:rPr>
          <w:rFonts w:ascii="David" w:hAnsi="David"/>
          <w:rtl/>
        </w:rPr>
        <w:t>". בנוסף, כאמור, בחוות דעתו מיום עריכת הצוואה ציין ד"ר רוזנברג כי למנוח "</w:t>
      </w:r>
      <w:r w:rsidRPr="004E64FB">
        <w:rPr>
          <w:rFonts w:ascii="David" w:hAnsi="David"/>
          <w:b/>
          <w:bCs/>
          <w:rtl/>
        </w:rPr>
        <w:t>שיפוט תקין</w:t>
      </w:r>
      <w:r w:rsidRPr="004E64FB">
        <w:rPr>
          <w:rFonts w:ascii="David" w:hAnsi="David"/>
          <w:rtl/>
        </w:rPr>
        <w:t>".</w:t>
      </w:r>
    </w:p>
    <w:p w:rsidR="008C4E4B" w:rsidRPr="004E64FB" w:rsidRDefault="008C4E4B" w:rsidP="00D340D1">
      <w:pPr>
        <w:pStyle w:val="ad"/>
        <w:bidi/>
        <w:spacing w:line="360" w:lineRule="auto"/>
        <w:ind w:left="1080"/>
        <w:contextualSpacing w:val="0"/>
        <w:jc w:val="both"/>
        <w:rPr>
          <w:rFonts w:ascii="David" w:hAnsi="David"/>
          <w:sz w:val="16"/>
          <w:szCs w:val="16"/>
        </w:rPr>
      </w:pPr>
    </w:p>
    <w:p w:rsidR="00631D0D" w:rsidRDefault="00631D0D" w:rsidP="004E64FB">
      <w:pPr>
        <w:pStyle w:val="ad"/>
        <w:numPr>
          <w:ilvl w:val="0"/>
          <w:numId w:val="1"/>
        </w:numPr>
        <w:bidi/>
        <w:spacing w:line="360" w:lineRule="auto"/>
        <w:ind w:left="567" w:hanging="561"/>
        <w:contextualSpacing w:val="0"/>
        <w:jc w:val="both"/>
        <w:rPr>
          <w:rFonts w:ascii="David" w:hAnsi="David"/>
        </w:rPr>
      </w:pPr>
      <w:r>
        <w:rPr>
          <w:rFonts w:ascii="David" w:hAnsi="David"/>
          <w:rtl/>
        </w:rPr>
        <w:t>למען הסדר הטוב, אדרש גם למספר ממצאים המעיבים במעט על הטענה לצלילות דעתו של המנוח ביום עריכת הצוואה:</w:t>
      </w:r>
    </w:p>
    <w:p w:rsidR="004E64FB" w:rsidRPr="004E64FB" w:rsidRDefault="004E64FB" w:rsidP="004E64FB">
      <w:pPr>
        <w:pStyle w:val="ad"/>
        <w:bidi/>
        <w:spacing w:line="360" w:lineRule="auto"/>
        <w:ind w:left="567"/>
        <w:contextualSpacing w:val="0"/>
        <w:jc w:val="both"/>
        <w:rPr>
          <w:rFonts w:ascii="David" w:hAnsi="David"/>
          <w:sz w:val="16"/>
          <w:szCs w:val="16"/>
          <w:rtl/>
        </w:rPr>
      </w:pPr>
    </w:p>
    <w:p w:rsidR="00631D0D" w:rsidRDefault="00631D0D" w:rsidP="004E64FB">
      <w:pPr>
        <w:pStyle w:val="ad"/>
        <w:numPr>
          <w:ilvl w:val="0"/>
          <w:numId w:val="6"/>
        </w:numPr>
        <w:bidi/>
        <w:spacing w:line="360" w:lineRule="auto"/>
        <w:ind w:left="1077" w:hanging="510"/>
        <w:contextualSpacing w:val="0"/>
        <w:jc w:val="both"/>
        <w:rPr>
          <w:rFonts w:ascii="David" w:hAnsi="David"/>
        </w:rPr>
      </w:pPr>
      <w:r>
        <w:rPr>
          <w:rFonts w:ascii="David" w:hAnsi="David"/>
          <w:rtl/>
        </w:rPr>
        <w:t xml:space="preserve">בסרטון ניכר כי ארשת פני המנוח היתה יחסית קפואה, וכך צוין גם בחוות דעתו המאוחרת של המומחה מטעם בית המשפט. לא נעלמה מעיניי טענת הילדים כי </w:t>
      </w:r>
      <w:r w:rsidR="004E64FB">
        <w:rPr>
          <w:rFonts w:ascii="David" w:hAnsi="David" w:hint="cs"/>
          <w:rtl/>
        </w:rPr>
        <w:t xml:space="preserve">המנוח </w:t>
      </w:r>
      <w:r>
        <w:rPr>
          <w:rFonts w:ascii="David" w:hAnsi="David"/>
          <w:rtl/>
        </w:rPr>
        <w:t>היה באותה עת במצב של דיספוריה, אך הניחה דעתי עדות המומחה לפיה "</w:t>
      </w:r>
      <w:r>
        <w:rPr>
          <w:rFonts w:ascii="David" w:hAnsi="David"/>
          <w:b/>
          <w:bCs/>
          <w:rtl/>
        </w:rPr>
        <w:t>לפי מכתבו של ד"ר רוזנברג הוא טופל בת</w:t>
      </w:r>
      <w:r w:rsidR="004E64FB">
        <w:rPr>
          <w:rFonts w:ascii="David" w:hAnsi="David" w:hint="cs"/>
          <w:b/>
          <w:bCs/>
          <w:rtl/>
        </w:rPr>
        <w:t>ר</w:t>
      </w:r>
      <w:r>
        <w:rPr>
          <w:rFonts w:ascii="David" w:hAnsi="David"/>
          <w:b/>
          <w:bCs/>
          <w:rtl/>
        </w:rPr>
        <w:t xml:space="preserve">ופה שנקראת זיפרקסה </w:t>
      </w:r>
      <w:r>
        <w:rPr>
          <w:rFonts w:ascii="David" w:hAnsi="David"/>
          <w:rtl/>
        </w:rPr>
        <w:t>[...]</w:t>
      </w:r>
      <w:r>
        <w:rPr>
          <w:rFonts w:ascii="David" w:hAnsi="David"/>
          <w:b/>
          <w:bCs/>
          <w:rtl/>
        </w:rPr>
        <w:t xml:space="preserve"> אחת מתופעות הלוואי של הזיפרקסה שיכולות להיות זה מה שנקרא סימנים כאילו פרקינסוניים שזה חוסר מימיקה </w:t>
      </w:r>
      <w:r>
        <w:rPr>
          <w:rFonts w:ascii="David" w:hAnsi="David"/>
          <w:rtl/>
        </w:rPr>
        <w:t xml:space="preserve">[...] </w:t>
      </w:r>
      <w:r>
        <w:rPr>
          <w:rFonts w:ascii="David" w:hAnsi="David"/>
          <w:b/>
          <w:bCs/>
          <w:rtl/>
        </w:rPr>
        <w:t>יכול להיות אופייני לזיפרקסה כך שאני יכול לחשוב שאותה היפומימיקה של הפנים אותה הבעה קפואה של הפנים נבעה אולי כתוצאה מהטיפול בזיפרקסה</w:t>
      </w:r>
      <w:r>
        <w:rPr>
          <w:rFonts w:ascii="David" w:hAnsi="David"/>
          <w:rtl/>
        </w:rPr>
        <w:t xml:space="preserve">" (ר' פרוטוקול מיום 22.6.2023, עמ' 130 ש' 26 – עמ' 131 ש' 4). </w:t>
      </w:r>
    </w:p>
    <w:p w:rsidR="004E64FB" w:rsidRPr="004E64FB" w:rsidRDefault="004E64FB" w:rsidP="004E64FB">
      <w:pPr>
        <w:pStyle w:val="ad"/>
        <w:bidi/>
        <w:spacing w:line="360" w:lineRule="auto"/>
        <w:ind w:left="1077"/>
        <w:contextualSpacing w:val="0"/>
        <w:jc w:val="both"/>
        <w:rPr>
          <w:rFonts w:ascii="David" w:hAnsi="David"/>
          <w:sz w:val="16"/>
          <w:szCs w:val="16"/>
        </w:rPr>
      </w:pPr>
    </w:p>
    <w:p w:rsidR="00631D0D" w:rsidRDefault="00631D0D" w:rsidP="004E64FB">
      <w:pPr>
        <w:pStyle w:val="ad"/>
        <w:numPr>
          <w:ilvl w:val="0"/>
          <w:numId w:val="6"/>
        </w:numPr>
        <w:bidi/>
        <w:spacing w:line="360" w:lineRule="auto"/>
        <w:ind w:left="1077" w:hanging="510"/>
        <w:contextualSpacing w:val="0"/>
        <w:jc w:val="both"/>
        <w:rPr>
          <w:rFonts w:ascii="David" w:hAnsi="David"/>
        </w:rPr>
      </w:pPr>
      <w:r w:rsidRPr="004E64FB">
        <w:rPr>
          <w:rFonts w:ascii="David" w:hAnsi="David"/>
          <w:rtl/>
        </w:rPr>
        <w:t>בפירוט הרפואי שציין ד"ר רוזנברג בחוות הדעת תחת פרטים אישיים שנמסרו לו מפי המנוח, נעדרו ממצאיו הרפואיים העדכניים ובהם אבחון מחלת הסרטן המתקדמת. זאת ועוד, העיד ד"ר רוזנברג בחקירתו כי לשאלתו על מצבו הרפואי של המנוח, זה השיב כי "</w:t>
      </w:r>
      <w:r w:rsidRPr="004E64FB">
        <w:rPr>
          <w:rFonts w:ascii="David" w:hAnsi="David"/>
          <w:b/>
          <w:bCs/>
          <w:rtl/>
        </w:rPr>
        <w:t>אין לו איזה שהוא בעיות רציניות גופניות</w:t>
      </w:r>
      <w:r w:rsidRPr="004E64FB">
        <w:rPr>
          <w:rFonts w:ascii="David" w:hAnsi="David"/>
          <w:rtl/>
        </w:rPr>
        <w:t xml:space="preserve">" (ר' פרוטוקול מיום 22.6.2023, עמ' 113 ש' 8-6). אף על פי שהדברים מטרידים, אין בהם כדי לסתור את ידיעת המנוח במועד עריכת הצוואה </w:t>
      </w:r>
      <w:r w:rsidRPr="004E64FB">
        <w:rPr>
          <w:rFonts w:ascii="David" w:hAnsi="David"/>
          <w:i/>
          <w:iCs/>
          <w:rtl/>
        </w:rPr>
        <w:t>כי הוא חותם על צוואה ומצווה את רכושו</w:t>
      </w:r>
      <w:r w:rsidRPr="004E64FB">
        <w:rPr>
          <w:rFonts w:ascii="David" w:hAnsi="David"/>
          <w:rtl/>
        </w:rPr>
        <w:t>, אלא לכל היותר את ידיעתו על חומרת מצבו הרפואי</w:t>
      </w:r>
      <w:r w:rsidR="004E64FB">
        <w:rPr>
          <w:rFonts w:ascii="David" w:hAnsi="David" w:hint="cs"/>
          <w:rtl/>
        </w:rPr>
        <w:t xml:space="preserve"> ואף ייתכן שסבר כי זהו נתון שאין חובה למוסרו</w:t>
      </w:r>
      <w:r w:rsidRPr="004E64FB">
        <w:rPr>
          <w:rFonts w:ascii="David" w:hAnsi="David"/>
          <w:rtl/>
        </w:rPr>
        <w:t xml:space="preserve">. </w:t>
      </w:r>
    </w:p>
    <w:p w:rsidR="004E64FB" w:rsidRPr="004E64FB" w:rsidRDefault="004E64FB" w:rsidP="004E64FB">
      <w:pPr>
        <w:pStyle w:val="ad"/>
        <w:rPr>
          <w:rFonts w:ascii="David" w:hAnsi="David"/>
          <w:sz w:val="16"/>
          <w:szCs w:val="16"/>
          <w:rtl/>
        </w:rPr>
      </w:pPr>
    </w:p>
    <w:p w:rsidR="001B6D2F" w:rsidRDefault="00B100EF" w:rsidP="000A1F4B">
      <w:pPr>
        <w:pStyle w:val="ad"/>
        <w:numPr>
          <w:ilvl w:val="0"/>
          <w:numId w:val="6"/>
        </w:numPr>
        <w:bidi/>
        <w:spacing w:line="360" w:lineRule="auto"/>
        <w:ind w:left="1077" w:hanging="510"/>
        <w:contextualSpacing w:val="0"/>
        <w:jc w:val="both"/>
        <w:rPr>
          <w:rFonts w:ascii="David" w:hAnsi="David"/>
        </w:rPr>
      </w:pPr>
      <w:r w:rsidRPr="004E64FB">
        <w:rPr>
          <w:rFonts w:ascii="David" w:hAnsi="David" w:hint="cs"/>
          <w:rtl/>
        </w:rPr>
        <w:t>בסרטון, לשאלת עורך הדין</w:t>
      </w:r>
      <w:r w:rsidR="004E64FB">
        <w:rPr>
          <w:rFonts w:ascii="David" w:hAnsi="David" w:hint="cs"/>
          <w:rtl/>
        </w:rPr>
        <w:t>:</w:t>
      </w:r>
      <w:r w:rsidRPr="004E64FB">
        <w:rPr>
          <w:rFonts w:ascii="David" w:hAnsi="David" w:hint="cs"/>
          <w:rtl/>
        </w:rPr>
        <w:t xml:space="preserve"> "</w:t>
      </w:r>
      <w:r w:rsidRPr="004E64FB">
        <w:rPr>
          <w:rFonts w:ascii="David" w:hAnsi="David" w:hint="cs"/>
          <w:b/>
          <w:bCs/>
          <w:rtl/>
        </w:rPr>
        <w:t xml:space="preserve">אתה מוריש הכל </w:t>
      </w:r>
      <w:r w:rsidR="000A1F4B">
        <w:rPr>
          <w:rFonts w:ascii="David" w:hAnsi="David" w:hint="cs"/>
          <w:b/>
          <w:bCs/>
          <w:rtl/>
        </w:rPr>
        <w:t>[לאשה]</w:t>
      </w:r>
      <w:r w:rsidRPr="004E64FB">
        <w:rPr>
          <w:rFonts w:ascii="David" w:hAnsi="David" w:hint="cs"/>
          <w:b/>
          <w:bCs/>
          <w:rtl/>
        </w:rPr>
        <w:t xml:space="preserve"> ולילדים שלך אתה לא מוריש</w:t>
      </w:r>
      <w:r w:rsidRPr="004E64FB">
        <w:rPr>
          <w:rFonts w:ascii="David" w:hAnsi="David" w:hint="cs"/>
          <w:rtl/>
        </w:rPr>
        <w:t xml:space="preserve"> </w:t>
      </w:r>
      <w:r w:rsidRPr="004E64FB">
        <w:rPr>
          <w:rFonts w:ascii="David" w:hAnsi="David" w:hint="cs"/>
          <w:b/>
          <w:bCs/>
          <w:rtl/>
        </w:rPr>
        <w:t>כי הם פחות מבקרים אותך אמרת לי?</w:t>
      </w:r>
      <w:r w:rsidRPr="004E64FB">
        <w:rPr>
          <w:rFonts w:ascii="David" w:hAnsi="David" w:hint="cs"/>
          <w:rtl/>
        </w:rPr>
        <w:t xml:space="preserve">" תועד המנוח משיב </w:t>
      </w:r>
      <w:r w:rsidRPr="004E64FB">
        <w:rPr>
          <w:rFonts w:ascii="David" w:hAnsi="David" w:hint="cs"/>
          <w:b/>
          <w:bCs/>
          <w:rtl/>
        </w:rPr>
        <w:t>"פחות מבקרים אותי ולא מייחסים חשיבות למצבי"</w:t>
      </w:r>
      <w:r w:rsidRPr="004E64FB">
        <w:rPr>
          <w:rFonts w:ascii="David" w:hAnsi="David" w:hint="cs"/>
          <w:rtl/>
        </w:rPr>
        <w:t xml:space="preserve"> (יצוין כי תשובתו זו נאמרה בגמגום</w:t>
      </w:r>
      <w:r w:rsidR="008C4E4B" w:rsidRPr="004E64FB">
        <w:rPr>
          <w:rFonts w:ascii="David" w:hAnsi="David" w:hint="cs"/>
          <w:rtl/>
        </w:rPr>
        <w:t xml:space="preserve"> ניכר</w:t>
      </w:r>
      <w:r w:rsidRPr="004E64FB">
        <w:rPr>
          <w:rFonts w:ascii="David" w:hAnsi="David" w:hint="cs"/>
          <w:rtl/>
        </w:rPr>
        <w:t xml:space="preserve">). </w:t>
      </w:r>
      <w:r w:rsidR="008C4E4B" w:rsidRPr="004E64FB">
        <w:rPr>
          <w:rFonts w:ascii="David" w:hAnsi="David" w:hint="cs"/>
          <w:rtl/>
        </w:rPr>
        <w:t xml:space="preserve">אמירתו זו אינה מתיישבת עם האמור בסיכום ביקורו של המנוח במכון האונקולוגי בבי"ח אסותא </w:t>
      </w:r>
      <w:r w:rsidR="001B6D2F">
        <w:rPr>
          <w:rFonts w:ascii="David" w:hAnsi="David" w:hint="cs"/>
          <w:u w:val="single"/>
          <w:rtl/>
        </w:rPr>
        <w:t>מ</w:t>
      </w:r>
      <w:r w:rsidR="008C4E4B" w:rsidRPr="004E64FB">
        <w:rPr>
          <w:rFonts w:ascii="David" w:hAnsi="David" w:hint="cs"/>
          <w:u w:val="single"/>
          <w:rtl/>
        </w:rPr>
        <w:t>אותו היום,</w:t>
      </w:r>
      <w:r w:rsidR="008C4E4B" w:rsidRPr="004E64FB">
        <w:rPr>
          <w:rFonts w:ascii="David" w:hAnsi="David" w:hint="cs"/>
          <w:rtl/>
        </w:rPr>
        <w:t xml:space="preserve"> יום עריכת הצוואה וצילום הסרטון: </w:t>
      </w:r>
      <w:r w:rsidR="008C4E4B" w:rsidRPr="004E64FB">
        <w:rPr>
          <w:rFonts w:ascii="David" w:hAnsi="David" w:hint="cs"/>
          <w:b/>
          <w:bCs/>
          <w:rtl/>
        </w:rPr>
        <w:t xml:space="preserve">"הגיע בכסא גלגלים </w:t>
      </w:r>
      <w:r w:rsidR="008C4E4B" w:rsidRPr="004E64FB">
        <w:rPr>
          <w:rFonts w:ascii="David" w:hAnsi="David" w:hint="cs"/>
          <w:b/>
          <w:bCs/>
          <w:u w:val="single"/>
          <w:rtl/>
        </w:rPr>
        <w:t>מלווה בבן</w:t>
      </w:r>
      <w:r w:rsidR="008C4E4B" w:rsidRPr="004E64FB">
        <w:rPr>
          <w:rFonts w:ascii="David" w:hAnsi="David" w:hint="cs"/>
          <w:b/>
          <w:bCs/>
          <w:rtl/>
        </w:rPr>
        <w:t xml:space="preserve"> ואחות" </w:t>
      </w:r>
      <w:r w:rsidR="008C4E4B" w:rsidRPr="004E64FB">
        <w:rPr>
          <w:rFonts w:ascii="David" w:hAnsi="David" w:hint="cs"/>
          <w:rtl/>
        </w:rPr>
        <w:t xml:space="preserve">(ר' סיכום הביקור מיום 3.2.2021 שנערך ע"י ד"ר אלה טפר וצורף לכתב ההתנגדות מטעם הילדים </w:t>
      </w:r>
      <w:r w:rsidR="008C4E4B" w:rsidRPr="004E64FB">
        <w:rPr>
          <w:rFonts w:ascii="David" w:hAnsi="David"/>
          <w:rtl/>
        </w:rPr>
        <w:t>–</w:t>
      </w:r>
      <w:r w:rsidR="008C4E4B" w:rsidRPr="004E64FB">
        <w:rPr>
          <w:rFonts w:ascii="David" w:hAnsi="David" w:hint="cs"/>
          <w:rtl/>
        </w:rPr>
        <w:t xml:space="preserve"> הדגשה לא במקור</w:t>
      </w:r>
      <w:r w:rsidRPr="004E64FB">
        <w:rPr>
          <w:rFonts w:ascii="David" w:hAnsi="David" w:hint="cs"/>
          <w:rtl/>
        </w:rPr>
        <w:t>).</w:t>
      </w:r>
      <w:r w:rsidR="008C4E4B" w:rsidRPr="004E64FB">
        <w:rPr>
          <w:rFonts w:ascii="David" w:hAnsi="David" w:hint="cs"/>
          <w:rtl/>
        </w:rPr>
        <w:t xml:space="preserve"> </w:t>
      </w:r>
    </w:p>
    <w:p w:rsidR="001B6D2F" w:rsidRPr="001B6D2F" w:rsidRDefault="001B6D2F" w:rsidP="001B6D2F">
      <w:pPr>
        <w:pStyle w:val="ad"/>
        <w:rPr>
          <w:rFonts w:ascii="David" w:hAnsi="David"/>
          <w:rtl/>
        </w:rPr>
      </w:pPr>
    </w:p>
    <w:p w:rsidR="00B100EF" w:rsidRDefault="008C4E4B" w:rsidP="001B6D2F">
      <w:pPr>
        <w:pStyle w:val="ad"/>
        <w:bidi/>
        <w:spacing w:line="360" w:lineRule="auto"/>
        <w:ind w:left="1077"/>
        <w:contextualSpacing w:val="0"/>
        <w:jc w:val="both"/>
        <w:rPr>
          <w:rFonts w:ascii="David" w:hAnsi="David"/>
          <w:i/>
          <w:iCs/>
          <w:rtl/>
        </w:rPr>
      </w:pPr>
      <w:r w:rsidRPr="004E64FB">
        <w:rPr>
          <w:rFonts w:ascii="David" w:hAnsi="David" w:hint="cs"/>
          <w:rtl/>
        </w:rPr>
        <w:lastRenderedPageBreak/>
        <w:t xml:space="preserve">על אף אי הנוחות העולה מניגוד זה, אין בית המשפט בוחן כליות ולב ואין זה ממקומו לשער מדוע נאמרו דברים אלה משנאמרו על ידי המנוח, ובכל מקרה אין גם באמירתו זו </w:t>
      </w:r>
      <w:r w:rsidRPr="004E64FB">
        <w:rPr>
          <w:rFonts w:ascii="David" w:hAnsi="David"/>
          <w:rtl/>
        </w:rPr>
        <w:t xml:space="preserve">כדי לסתור את ידיעת המנוח במועד עריכת הצוואה </w:t>
      </w:r>
      <w:r w:rsidRPr="004E64FB">
        <w:rPr>
          <w:rFonts w:ascii="David" w:hAnsi="David"/>
          <w:i/>
          <w:iCs/>
          <w:rtl/>
        </w:rPr>
        <w:t>כי הוא חותם על צוואה ומצווה את רכושו</w:t>
      </w:r>
      <w:r w:rsidRPr="004E64FB">
        <w:rPr>
          <w:rFonts w:ascii="David" w:hAnsi="David" w:hint="cs"/>
          <w:i/>
          <w:iCs/>
          <w:rtl/>
        </w:rPr>
        <w:t>.</w:t>
      </w:r>
    </w:p>
    <w:p w:rsidR="001B6D2F" w:rsidRPr="001B6D2F" w:rsidRDefault="001B6D2F" w:rsidP="001B6D2F">
      <w:pPr>
        <w:pStyle w:val="ad"/>
        <w:bidi/>
        <w:spacing w:line="360" w:lineRule="auto"/>
        <w:ind w:left="1077"/>
        <w:contextualSpacing w:val="0"/>
        <w:jc w:val="both"/>
        <w:rPr>
          <w:rFonts w:ascii="David" w:hAnsi="David"/>
          <w:sz w:val="16"/>
          <w:szCs w:val="16"/>
        </w:rPr>
      </w:pPr>
    </w:p>
    <w:p w:rsidR="00631D0D" w:rsidRDefault="00631D0D" w:rsidP="001B6D2F">
      <w:pPr>
        <w:pStyle w:val="ad"/>
        <w:numPr>
          <w:ilvl w:val="0"/>
          <w:numId w:val="6"/>
        </w:numPr>
        <w:bidi/>
        <w:spacing w:line="360" w:lineRule="auto"/>
        <w:ind w:hanging="513"/>
        <w:contextualSpacing w:val="0"/>
        <w:jc w:val="both"/>
        <w:rPr>
          <w:rFonts w:ascii="David" w:hAnsi="David"/>
        </w:rPr>
      </w:pPr>
      <w:r>
        <w:rPr>
          <w:rFonts w:ascii="David" w:hAnsi="David"/>
          <w:rtl/>
        </w:rPr>
        <w:t xml:space="preserve">בממצאי בדיקת המנוח על ידי ד"ר בראל, מומחה גריאטרי ופסיכוגריאטרי, מיום </w:t>
      </w:r>
      <w:r>
        <w:rPr>
          <w:rFonts w:ascii="David" w:hAnsi="David"/>
          <w:u w:val="single"/>
          <w:rtl/>
        </w:rPr>
        <w:t>1.3.2021</w:t>
      </w:r>
      <w:r>
        <w:rPr>
          <w:rFonts w:ascii="David" w:hAnsi="David"/>
          <w:rtl/>
        </w:rPr>
        <w:t>, צוין כי המנוח נשאל האם הוא חתם על צוואה וענה "</w:t>
      </w:r>
      <w:r>
        <w:rPr>
          <w:rFonts w:ascii="David" w:hAnsi="David"/>
          <w:b/>
          <w:bCs/>
          <w:rtl/>
        </w:rPr>
        <w:t>שכל הרכוש עובר לילדים שלי</w:t>
      </w:r>
      <w:r>
        <w:rPr>
          <w:rFonts w:ascii="David" w:hAnsi="David"/>
          <w:rtl/>
        </w:rPr>
        <w:t>" בלא התייחסות לצוואה מיום 3.2.2021. לנוכח העדויות המרובות על ההחמרה המואצת בהידרדרות מצבו הבריאותי של המנוח באותה עת, אני נוטה להסכים שבאותו זמן (1.3.2021) המנוח כבר איבד את כשירותו ואת הבנתו את המתרחש.</w:t>
      </w:r>
    </w:p>
    <w:p w:rsidR="008C4E4B" w:rsidRPr="001B6D2F" w:rsidRDefault="008C4E4B" w:rsidP="00D340D1">
      <w:pPr>
        <w:pStyle w:val="ad"/>
        <w:bidi/>
        <w:spacing w:line="360" w:lineRule="auto"/>
        <w:ind w:left="1080"/>
        <w:contextualSpacing w:val="0"/>
        <w:jc w:val="both"/>
        <w:rPr>
          <w:rFonts w:ascii="David" w:hAnsi="David"/>
          <w:sz w:val="16"/>
          <w:szCs w:val="16"/>
        </w:rPr>
      </w:pPr>
    </w:p>
    <w:p w:rsidR="00631D0D" w:rsidRDefault="00631D0D" w:rsidP="001B6D2F">
      <w:pPr>
        <w:pStyle w:val="ad"/>
        <w:numPr>
          <w:ilvl w:val="0"/>
          <w:numId w:val="1"/>
        </w:numPr>
        <w:bidi/>
        <w:spacing w:line="360" w:lineRule="auto"/>
        <w:ind w:left="567" w:hanging="561"/>
        <w:contextualSpacing w:val="0"/>
        <w:jc w:val="both"/>
        <w:rPr>
          <w:rFonts w:ascii="David" w:hAnsi="David"/>
        </w:rPr>
      </w:pPr>
      <w:r>
        <w:rPr>
          <w:rFonts w:ascii="David" w:hAnsi="David"/>
          <w:rtl/>
        </w:rPr>
        <w:t xml:space="preserve">בנוסף לניתוח זה, נתתי דעתי גם לשתי חוות הדעת של המומחה מטעם בית המשפט ולעדותו בעניינן. כידוע היטב לצדדים, חוות דעתו המאוחרת של המומחה אינה חפה מקשיים, שהרי "הפך" את החלטתו המוקדמת לאחר שנתברר כי מפאת מחדלי ב"כ האשה לא ראה את התמונה הראייתית בשלמותה, וקבע לבסוף כי המנוח ידע להבחין בטיבה של צוואה ביום 3.2.2021. יחד עם זאת, לילדים ניתנה ההזדמנות לחקור את המומחה לאחר קבלת חוות דעתו המאוחרת, ועל כן נחה דעתי כי מוצה הדיון בנושא. חוות דעתו הראשונה של המומחה ניתנה בלא שהונח בפניו מלוא החומר הראייתי הצריך לעניין, ומכאן שאין בשינוי דעתו כדי להביא את המקרה בגדר המקרים הנדירים בהם יש לדחות מסקנות מומחה מטעם בית המשפט (ר' מיני רבים: רע"א 5128/23 </w:t>
      </w:r>
      <w:r>
        <w:rPr>
          <w:rFonts w:ascii="David" w:hAnsi="David"/>
          <w:b/>
          <w:bCs/>
          <w:rtl/>
        </w:rPr>
        <w:t>מ.ע.ג.ן. נ' פז</w:t>
      </w:r>
      <w:r>
        <w:rPr>
          <w:rFonts w:ascii="David" w:hAnsi="David"/>
          <w:rtl/>
        </w:rPr>
        <w:t xml:space="preserve"> (נבו, 15.8.23)). זאת ועוד, בחקירתו התייחס המומחה עניינית לטענות הילדים בדבר היות הסרטון מיום עריכת הצוואה קצר מאוד ובדבר "תרגול" המנוח, לשיטתם, את תשובותיו לשאלות ומצאתי כי אין מקום להתערב במסקנותיו, לא כל שכן מדובר בעניין שבמומחיותו. מעבר לצורך, אני מוצא לציין כי דווקא יש לשבח מומחה אשר איננו "נעול" על חוות דעתו הראשונה ונכון לבחון כל מקרה לגופו וכל ראיה רלוונטית שיש בה כדי לשנות ממסקנתו הראשונה. </w:t>
      </w:r>
    </w:p>
    <w:p w:rsidR="001B6D2F" w:rsidRPr="000A1F4B" w:rsidRDefault="001B6D2F" w:rsidP="001B6D2F">
      <w:pPr>
        <w:pStyle w:val="ad"/>
        <w:bidi/>
        <w:spacing w:line="360" w:lineRule="auto"/>
        <w:ind w:left="567"/>
        <w:contextualSpacing w:val="0"/>
        <w:jc w:val="both"/>
        <w:rPr>
          <w:rFonts w:ascii="David" w:hAnsi="David"/>
          <w:sz w:val="16"/>
          <w:szCs w:val="16"/>
        </w:rPr>
      </w:pPr>
    </w:p>
    <w:p w:rsidR="00631D0D" w:rsidRDefault="00631D0D" w:rsidP="001B6D2F">
      <w:pPr>
        <w:pStyle w:val="ad"/>
        <w:numPr>
          <w:ilvl w:val="0"/>
          <w:numId w:val="1"/>
        </w:numPr>
        <w:bidi/>
        <w:spacing w:line="360" w:lineRule="auto"/>
        <w:ind w:left="567" w:hanging="561"/>
        <w:contextualSpacing w:val="0"/>
        <w:jc w:val="both"/>
        <w:rPr>
          <w:rFonts w:ascii="David" w:hAnsi="David"/>
        </w:rPr>
      </w:pPr>
      <w:r w:rsidRPr="001B6D2F">
        <w:rPr>
          <w:rFonts w:ascii="David" w:hAnsi="David"/>
          <w:rtl/>
        </w:rPr>
        <w:t>כידוע, חזקה היא שמצווה ידע להבחין בטיבה של צוואה, ו</w:t>
      </w:r>
      <w:r w:rsidR="001B6D2F">
        <w:rPr>
          <w:rFonts w:ascii="David" w:hAnsi="David" w:hint="cs"/>
          <w:rtl/>
        </w:rPr>
        <w:t>ה</w:t>
      </w:r>
      <w:r w:rsidRPr="001B6D2F">
        <w:rPr>
          <w:rFonts w:ascii="David" w:hAnsi="David"/>
          <w:rtl/>
        </w:rPr>
        <w:t xml:space="preserve">נטל </w:t>
      </w:r>
      <w:r w:rsidR="001B6D2F">
        <w:rPr>
          <w:rFonts w:ascii="David" w:hAnsi="David" w:hint="cs"/>
          <w:rtl/>
        </w:rPr>
        <w:t xml:space="preserve">לסתור זאת </w:t>
      </w:r>
      <w:r w:rsidRPr="001B6D2F">
        <w:rPr>
          <w:rFonts w:ascii="David" w:hAnsi="David"/>
          <w:u w:val="single"/>
          <w:rtl/>
        </w:rPr>
        <w:t>מוטל על כתפי הטוענים לכך</w:t>
      </w:r>
      <w:r w:rsidRPr="001B6D2F">
        <w:rPr>
          <w:rFonts w:ascii="David" w:hAnsi="David"/>
          <w:rtl/>
        </w:rPr>
        <w:t xml:space="preserve"> (ר' לדוגמה עניין מרום; בע"מ 3539/17 </w:t>
      </w:r>
      <w:r w:rsidRPr="001B6D2F">
        <w:rPr>
          <w:rFonts w:ascii="David" w:hAnsi="David"/>
          <w:b/>
          <w:bCs/>
          <w:rtl/>
        </w:rPr>
        <w:t>פלונית נ' פלוני</w:t>
      </w:r>
      <w:r w:rsidRPr="001B6D2F">
        <w:rPr>
          <w:rFonts w:ascii="David" w:hAnsi="David"/>
          <w:rtl/>
        </w:rPr>
        <w:t xml:space="preserve"> (נבו, 11.6.2017); ע"א 1212/91 </w:t>
      </w:r>
      <w:r w:rsidRPr="001B6D2F">
        <w:rPr>
          <w:rFonts w:ascii="David" w:hAnsi="David"/>
          <w:b/>
          <w:bCs/>
          <w:rtl/>
        </w:rPr>
        <w:t>קרן לב"י נ' בינשטוק</w:t>
      </w:r>
      <w:r w:rsidRPr="001B6D2F">
        <w:rPr>
          <w:rFonts w:ascii="David" w:hAnsi="David"/>
          <w:rtl/>
        </w:rPr>
        <w:t>, פ"ד מח(3) 705, 716-715 (1994)). למען הסר ספק, נזכיר כי "</w:t>
      </w:r>
      <w:r w:rsidRPr="001B6D2F">
        <w:rPr>
          <w:rFonts w:ascii="David" w:hAnsi="David"/>
          <w:b/>
          <w:bCs/>
          <w:rtl/>
        </w:rPr>
        <w:t>ראיה כי בתקופה סמוכה ליום עריכת הצוואה סבל המצווה מפיחות ניכר בתיפקודו השכלי, משקלה עמה בהכרעה אם ידע המצווה, בעת עריכת הצוואה, להבחין בטיבה של צוואה. אך אין די בראיה כללית מעין זו כדי להעביר נטל ראיות (טאקטי) מכף-אל-כף</w:t>
      </w:r>
      <w:r w:rsidRPr="001B6D2F">
        <w:rPr>
          <w:rFonts w:ascii="David" w:hAnsi="David"/>
          <w:rtl/>
        </w:rPr>
        <w:t xml:space="preserve">" (עניין מרום, 328 ו). לאור המפורט בחלק זה לדיון, סבורני כי לא עמדו הילדים בנטל </w:t>
      </w:r>
      <w:r w:rsidR="001B6D2F">
        <w:rPr>
          <w:rFonts w:ascii="David" w:hAnsi="David" w:hint="cs"/>
          <w:rtl/>
        </w:rPr>
        <w:t xml:space="preserve">להראות </w:t>
      </w:r>
      <w:r w:rsidRPr="001B6D2F">
        <w:rPr>
          <w:rFonts w:ascii="David" w:hAnsi="David"/>
          <w:rtl/>
        </w:rPr>
        <w:t xml:space="preserve">שהמנוח לא ידע להבחין בטיבה של צוואה ביום 3.2.2021. </w:t>
      </w:r>
    </w:p>
    <w:p w:rsidR="00481A4A" w:rsidRPr="000A1F4B" w:rsidRDefault="00481A4A" w:rsidP="00481A4A">
      <w:pPr>
        <w:pStyle w:val="ad"/>
        <w:rPr>
          <w:rFonts w:ascii="David" w:hAnsi="David"/>
          <w:sz w:val="16"/>
          <w:szCs w:val="16"/>
          <w:rtl/>
        </w:rPr>
      </w:pPr>
    </w:p>
    <w:p w:rsidR="00631D0D" w:rsidRDefault="00631D0D" w:rsidP="00481A4A">
      <w:pPr>
        <w:pStyle w:val="ad"/>
        <w:numPr>
          <w:ilvl w:val="0"/>
          <w:numId w:val="1"/>
        </w:numPr>
        <w:bidi/>
        <w:spacing w:line="360" w:lineRule="auto"/>
        <w:ind w:left="567" w:hanging="561"/>
        <w:contextualSpacing w:val="0"/>
        <w:jc w:val="both"/>
        <w:rPr>
          <w:rFonts w:ascii="David" w:hAnsi="David"/>
        </w:rPr>
      </w:pPr>
      <w:r w:rsidRPr="00481A4A">
        <w:rPr>
          <w:rFonts w:ascii="David" w:hAnsi="David"/>
          <w:rtl/>
        </w:rPr>
        <w:t xml:space="preserve">אשר על כן, </w:t>
      </w:r>
      <w:r w:rsidR="00481A4A">
        <w:rPr>
          <w:rFonts w:ascii="David" w:hAnsi="David" w:hint="cs"/>
          <w:rtl/>
        </w:rPr>
        <w:t xml:space="preserve">מצאתי לדחות </w:t>
      </w:r>
      <w:r w:rsidRPr="00481A4A">
        <w:rPr>
          <w:rFonts w:ascii="David" w:hAnsi="David"/>
          <w:rtl/>
        </w:rPr>
        <w:t>את טענת הילדים לפיה המנוח לא ידע להבחין בטיבה של צוואה</w:t>
      </w:r>
      <w:r w:rsidR="00481A4A">
        <w:rPr>
          <w:rFonts w:ascii="David" w:hAnsi="David" w:hint="cs"/>
          <w:rtl/>
        </w:rPr>
        <w:t xml:space="preserve"> במועד עריכתה. </w:t>
      </w:r>
    </w:p>
    <w:p w:rsidR="00481A4A" w:rsidRDefault="00481A4A" w:rsidP="00481A4A">
      <w:pPr>
        <w:pStyle w:val="ad"/>
        <w:rPr>
          <w:rFonts w:ascii="David" w:hAnsi="David"/>
        </w:rPr>
      </w:pPr>
    </w:p>
    <w:p w:rsidR="000A1F4B" w:rsidRPr="00481A4A" w:rsidRDefault="000A1F4B" w:rsidP="00481A4A">
      <w:pPr>
        <w:pStyle w:val="ad"/>
        <w:rPr>
          <w:rFonts w:ascii="David" w:hAnsi="David"/>
          <w:rtl/>
        </w:rPr>
      </w:pPr>
    </w:p>
    <w:p w:rsidR="00631D0D" w:rsidRDefault="00631D0D" w:rsidP="00D340D1">
      <w:pPr>
        <w:bidi/>
        <w:spacing w:line="360" w:lineRule="auto"/>
        <w:jc w:val="both"/>
        <w:rPr>
          <w:rFonts w:ascii="David" w:hAnsi="David"/>
          <w:b/>
          <w:bCs/>
          <w:rtl/>
        </w:rPr>
      </w:pPr>
      <w:r>
        <w:rPr>
          <w:rFonts w:ascii="David" w:hAnsi="David"/>
          <w:b/>
          <w:bCs/>
          <w:rtl/>
        </w:rPr>
        <w:lastRenderedPageBreak/>
        <w:t>ג.2. – האם הצוואה היא תולדה של השפעה בלתי הוגנת של האשה על המנוח?</w:t>
      </w:r>
    </w:p>
    <w:p w:rsidR="00481A4A" w:rsidRPr="00481A4A" w:rsidRDefault="00481A4A" w:rsidP="00481A4A">
      <w:pPr>
        <w:bidi/>
        <w:spacing w:line="360" w:lineRule="auto"/>
        <w:jc w:val="both"/>
        <w:rPr>
          <w:rFonts w:ascii="David" w:hAnsi="David"/>
          <w:b/>
          <w:bCs/>
          <w:sz w:val="16"/>
          <w:szCs w:val="16"/>
        </w:rPr>
      </w:pPr>
    </w:p>
    <w:p w:rsidR="00631D0D" w:rsidRDefault="00631D0D" w:rsidP="00481A4A">
      <w:pPr>
        <w:pStyle w:val="ad"/>
        <w:numPr>
          <w:ilvl w:val="0"/>
          <w:numId w:val="1"/>
        </w:numPr>
        <w:bidi/>
        <w:spacing w:line="360" w:lineRule="auto"/>
        <w:ind w:left="567" w:hanging="561"/>
        <w:contextualSpacing w:val="0"/>
        <w:jc w:val="both"/>
        <w:rPr>
          <w:rFonts w:ascii="David" w:hAnsi="David"/>
        </w:rPr>
      </w:pPr>
      <w:r>
        <w:rPr>
          <w:rFonts w:ascii="David" w:hAnsi="David"/>
          <w:rtl/>
        </w:rPr>
        <w:t xml:space="preserve">סעיף 30(א) לחוק מורה כי: </w:t>
      </w:r>
      <w:r>
        <w:rPr>
          <w:rFonts w:ascii="David" w:hAnsi="David"/>
          <w:b/>
          <w:bCs/>
          <w:rtl/>
        </w:rPr>
        <w:t>"הוראת צוואה שנעשתה מחמת אונס, איום, השפעה בלתי הוגנת, תחבולה או תרמית – בטלה"</w:t>
      </w:r>
      <w:r>
        <w:rPr>
          <w:rFonts w:ascii="David" w:hAnsi="David"/>
          <w:rtl/>
        </w:rPr>
        <w:t xml:space="preserve">. על פי הדין החל, יש להבחין בין השאלה העובדתית 'האם התקיימה השפעה?' לבין השאלה הנורמטיבית-ערכית 'האם הייתה ההשפעה </w:t>
      </w:r>
      <w:r>
        <w:rPr>
          <w:rFonts w:ascii="David" w:hAnsi="David"/>
          <w:u w:val="single"/>
          <w:rtl/>
        </w:rPr>
        <w:t>בלתי הוגנת</w:t>
      </w:r>
      <w:r>
        <w:rPr>
          <w:rFonts w:ascii="David" w:hAnsi="David"/>
          <w:rtl/>
        </w:rPr>
        <w:t xml:space="preserve">?', עליה על בית המשפט להשיב בראי מושגים של מוסר אישי וחברתי (ע"א 4902/91 </w:t>
      </w:r>
      <w:r>
        <w:rPr>
          <w:rFonts w:ascii="David" w:hAnsi="David"/>
          <w:b/>
          <w:bCs/>
          <w:rtl/>
        </w:rPr>
        <w:t>גודמן נ' ישיבת בית מדרש גבוה לדיינות על שם הרב שלמה מוסאיוף זצ"ל בירושלים</w:t>
      </w:r>
      <w:r>
        <w:rPr>
          <w:rFonts w:ascii="David" w:hAnsi="David"/>
          <w:rtl/>
        </w:rPr>
        <w:t xml:space="preserve">, פ"ד מט(2) 441 (1995)). עוד נפסק, כי לצורך פסילת צוואה מכוח השפעה בלתי הוגנת, אין די בהשפעה </w:t>
      </w:r>
      <w:r>
        <w:rPr>
          <w:rFonts w:ascii="David" w:hAnsi="David"/>
          <w:u w:val="single"/>
          <w:rtl/>
        </w:rPr>
        <w:t>שגרתית</w:t>
      </w:r>
      <w:r>
        <w:rPr>
          <w:rFonts w:ascii="David" w:hAnsi="David"/>
          <w:rtl/>
        </w:rPr>
        <w:t xml:space="preserve">, אלא על בית המשפט להשתכנע, מנסיבותיה של אותה השפעה, כי התקיים בה מרכיב בלתי-הוגן וכי הצוואה הייתה פועל יוצא של אותו מרכיב (ר' למשל עניין מרום; ע"א 3828/98 </w:t>
      </w:r>
      <w:r>
        <w:rPr>
          <w:rFonts w:ascii="David" w:hAnsi="David"/>
          <w:b/>
          <w:bCs/>
          <w:rtl/>
        </w:rPr>
        <w:t>מיכקשווילי נ' מחקשווילי</w:t>
      </w:r>
      <w:r>
        <w:rPr>
          <w:rFonts w:ascii="David" w:hAnsi="David"/>
          <w:rtl/>
        </w:rPr>
        <w:t xml:space="preserve">, פ"ד נד(2) 337, 342 (2000); ע"מ (ת"א) </w:t>
      </w:r>
      <w:r>
        <w:rPr>
          <w:rFonts w:ascii="David" w:hAnsi="David"/>
          <w:b/>
          <w:bCs/>
          <w:rtl/>
        </w:rPr>
        <w:t>פלוני נ' פלונית</w:t>
      </w:r>
      <w:r>
        <w:rPr>
          <w:rFonts w:ascii="David" w:hAnsi="David"/>
          <w:rtl/>
        </w:rPr>
        <w:t xml:space="preserve"> (פורסם בנבו, 6.4.09)). </w:t>
      </w:r>
    </w:p>
    <w:p w:rsidR="00481A4A" w:rsidRPr="00481A4A" w:rsidRDefault="00481A4A" w:rsidP="00481A4A">
      <w:pPr>
        <w:pStyle w:val="ad"/>
        <w:bidi/>
        <w:spacing w:line="360" w:lineRule="auto"/>
        <w:ind w:left="567"/>
        <w:contextualSpacing w:val="0"/>
        <w:jc w:val="both"/>
        <w:rPr>
          <w:rFonts w:ascii="David" w:hAnsi="David"/>
          <w:sz w:val="16"/>
          <w:szCs w:val="16"/>
        </w:rPr>
      </w:pPr>
    </w:p>
    <w:p w:rsidR="00631D0D" w:rsidRDefault="00631D0D" w:rsidP="00383D0C">
      <w:pPr>
        <w:pStyle w:val="ad"/>
        <w:numPr>
          <w:ilvl w:val="0"/>
          <w:numId w:val="1"/>
        </w:numPr>
        <w:bidi/>
        <w:spacing w:line="360" w:lineRule="auto"/>
        <w:ind w:left="567" w:hanging="561"/>
        <w:contextualSpacing w:val="0"/>
        <w:jc w:val="both"/>
        <w:rPr>
          <w:rFonts w:ascii="David" w:hAnsi="David"/>
        </w:rPr>
      </w:pPr>
      <w:r w:rsidRPr="00481A4A">
        <w:rPr>
          <w:rFonts w:ascii="David" w:hAnsi="David"/>
          <w:rtl/>
        </w:rPr>
        <w:t xml:space="preserve">בחינת קיומה או היעדרה של השפעה בלתי הוגנת תיערך בהתאם לעובדות כל מקרה לגופו ובאמצעות ראיות ישירות או נסיבתיות, בין היתר, למצבו הגופני או הנפשי של המצווה בתקופה שבה נערכה הצוואה, מידת תלותו בזולת, קשריו עם אנשים אחרים, אופי יחסיו עם הנהנה על פי הצוואה ומידת המעורבות של הנהנה בעריכת הצוואה (ר' דנ"א 1516/95 </w:t>
      </w:r>
      <w:r w:rsidRPr="00481A4A">
        <w:rPr>
          <w:rFonts w:ascii="David" w:hAnsi="David"/>
          <w:b/>
          <w:bCs/>
          <w:rtl/>
        </w:rPr>
        <w:t>מרום נ' היועץ המשפטי לממשלה</w:t>
      </w:r>
      <w:r w:rsidRPr="00481A4A">
        <w:rPr>
          <w:rFonts w:ascii="David" w:hAnsi="David"/>
          <w:rtl/>
        </w:rPr>
        <w:t xml:space="preserve">, פ"ד נב(2) 813 (1998) (להלן: </w:t>
      </w:r>
      <w:r w:rsidR="00383D0C">
        <w:rPr>
          <w:rFonts w:ascii="Miriam" w:hAnsi="Miriam" w:cs="Miriam" w:hint="cs"/>
          <w:b/>
          <w:bCs/>
          <w:sz w:val="22"/>
          <w:szCs w:val="22"/>
          <w:rtl/>
        </w:rPr>
        <w:t>דנ"א מרום</w:t>
      </w:r>
      <w:r w:rsidRPr="00481A4A">
        <w:rPr>
          <w:rFonts w:ascii="David" w:hAnsi="David"/>
          <w:rtl/>
        </w:rPr>
        <w:t>)).</w:t>
      </w:r>
    </w:p>
    <w:p w:rsidR="00383D0C" w:rsidRPr="00383D0C" w:rsidRDefault="00383D0C" w:rsidP="00383D0C">
      <w:pPr>
        <w:pStyle w:val="ad"/>
        <w:rPr>
          <w:rFonts w:ascii="David" w:hAnsi="David"/>
          <w:sz w:val="16"/>
          <w:szCs w:val="16"/>
          <w:rtl/>
        </w:rPr>
      </w:pPr>
    </w:p>
    <w:p w:rsidR="00631D0D" w:rsidRDefault="00631D0D" w:rsidP="00383D0C">
      <w:pPr>
        <w:pStyle w:val="ad"/>
        <w:numPr>
          <w:ilvl w:val="0"/>
          <w:numId w:val="1"/>
        </w:numPr>
        <w:bidi/>
        <w:spacing w:line="360" w:lineRule="auto"/>
        <w:ind w:left="567" w:hanging="561"/>
        <w:contextualSpacing w:val="0"/>
        <w:jc w:val="both"/>
        <w:rPr>
          <w:rFonts w:ascii="David" w:hAnsi="David"/>
        </w:rPr>
      </w:pPr>
      <w:r w:rsidRPr="00383D0C">
        <w:rPr>
          <w:rFonts w:ascii="David" w:hAnsi="David"/>
          <w:rtl/>
        </w:rPr>
        <w:t xml:space="preserve">הפסיקה מתווה מספר מבחני עזר אפשריים לעניין התקיימות השפעה בלתי הוגנת. כך, למשל, ניתן לעשות שימוש בארבע אבני הבוחן שקיבץ כב' השופט א' מצא בדנ"א מרום, לצורך בחינת קיומה ומידתה של תלות: </w:t>
      </w:r>
    </w:p>
    <w:p w:rsidR="00383D0C" w:rsidRPr="000A1F4B" w:rsidRDefault="00383D0C" w:rsidP="00383D0C">
      <w:pPr>
        <w:pStyle w:val="ad"/>
        <w:rPr>
          <w:rFonts w:ascii="David" w:hAnsi="David"/>
          <w:sz w:val="16"/>
          <w:szCs w:val="16"/>
          <w:rtl/>
        </w:rPr>
      </w:pPr>
    </w:p>
    <w:p w:rsidR="00631D0D" w:rsidRDefault="00631D0D" w:rsidP="00383D0C">
      <w:pPr>
        <w:pStyle w:val="ad"/>
        <w:numPr>
          <w:ilvl w:val="1"/>
          <w:numId w:val="1"/>
        </w:numPr>
        <w:bidi/>
        <w:spacing w:line="360" w:lineRule="auto"/>
        <w:ind w:left="1134" w:hanging="426"/>
        <w:contextualSpacing w:val="0"/>
        <w:jc w:val="both"/>
        <w:rPr>
          <w:rFonts w:ascii="David" w:hAnsi="David"/>
        </w:rPr>
      </w:pPr>
      <w:r w:rsidRPr="00383D0C">
        <w:rPr>
          <w:rFonts w:ascii="David" w:hAnsi="David"/>
          <w:u w:val="single"/>
          <w:rtl/>
        </w:rPr>
        <w:t>מבחן העצמאות</w:t>
      </w:r>
      <w:r w:rsidRPr="00383D0C">
        <w:rPr>
          <w:rFonts w:ascii="David" w:hAnsi="David"/>
          <w:rtl/>
        </w:rPr>
        <w:t xml:space="preserve"> - בחינת מידת עצמאות המצווה בתקופה הרלוונטית, הן מבחינה פיזית והן מבחינה שכלית-הכרתית. לקביעה כי התקיימה תלות המצווה בנהנה אין די בתלות פיזית, אלא נדרשת תלות שכלית הכרתית. </w:t>
      </w:r>
    </w:p>
    <w:p w:rsidR="00631D0D" w:rsidRDefault="00631D0D" w:rsidP="00383D0C">
      <w:pPr>
        <w:pStyle w:val="ad"/>
        <w:numPr>
          <w:ilvl w:val="1"/>
          <w:numId w:val="1"/>
        </w:numPr>
        <w:bidi/>
        <w:spacing w:line="360" w:lineRule="auto"/>
        <w:ind w:left="1134" w:hanging="426"/>
        <w:contextualSpacing w:val="0"/>
        <w:jc w:val="both"/>
        <w:rPr>
          <w:rFonts w:ascii="David" w:hAnsi="David"/>
        </w:rPr>
      </w:pPr>
      <w:r w:rsidRPr="00383D0C">
        <w:rPr>
          <w:rFonts w:ascii="David" w:hAnsi="David"/>
          <w:u w:val="single"/>
          <w:rtl/>
        </w:rPr>
        <w:t>מבחן הסיוע</w:t>
      </w:r>
      <w:r w:rsidRPr="00383D0C">
        <w:rPr>
          <w:rFonts w:ascii="David" w:hAnsi="David"/>
          <w:rtl/>
        </w:rPr>
        <w:t xml:space="preserve"> - בחינה האם, ככל שהמצווה נזקק לסיוע, הקשר בינו לבין הנהנה התבסס על מתן הסיוע לו נזקק. בית המשפט ייטה לקבוע שהמצווה היה תלוי בנהנה אם היה זה הנהנה אשר סייע למצווה להתגבר על קשייו ומגבלותיו. לעניין זה, חשיבות מיוחדת תיוחס לשאלת הסתייעות המצווה גם באחרים מלבד הנהנה, אשר באופן טבעי מפחיתה את החשש להיווצרות תלות.  </w:t>
      </w:r>
    </w:p>
    <w:p w:rsidR="00631D0D" w:rsidRDefault="00631D0D" w:rsidP="00383D0C">
      <w:pPr>
        <w:pStyle w:val="ad"/>
        <w:numPr>
          <w:ilvl w:val="1"/>
          <w:numId w:val="1"/>
        </w:numPr>
        <w:bidi/>
        <w:spacing w:line="360" w:lineRule="auto"/>
        <w:ind w:left="1134" w:hanging="426"/>
        <w:contextualSpacing w:val="0"/>
        <w:jc w:val="both"/>
        <w:rPr>
          <w:rFonts w:ascii="David" w:hAnsi="David"/>
        </w:rPr>
      </w:pPr>
      <w:r w:rsidRPr="00383D0C">
        <w:rPr>
          <w:rFonts w:ascii="David" w:hAnsi="David"/>
          <w:u w:val="single"/>
          <w:rtl/>
        </w:rPr>
        <w:t>מבחן קשרי המצווה עם אחרים</w:t>
      </w:r>
      <w:r w:rsidRPr="00383D0C">
        <w:rPr>
          <w:rFonts w:ascii="David" w:hAnsi="David"/>
          <w:rtl/>
        </w:rPr>
        <w:t xml:space="preserve"> - בחינת היקף ומידת הקשרים שקיים המצווה עם אחרים זולת הנהנה. ככל שיתברר כי המצווה היה מנותק לחלוטין או שקיים קשרים מועטים ונדירים עם אנשים אחרים, תתחזק ההנחה בדבר תלותו בנהנה.</w:t>
      </w:r>
    </w:p>
    <w:p w:rsidR="00631D0D" w:rsidRPr="00383D0C" w:rsidRDefault="00631D0D" w:rsidP="00383D0C">
      <w:pPr>
        <w:pStyle w:val="ad"/>
        <w:numPr>
          <w:ilvl w:val="1"/>
          <w:numId w:val="1"/>
        </w:numPr>
        <w:bidi/>
        <w:spacing w:line="360" w:lineRule="auto"/>
        <w:ind w:left="1134" w:hanging="426"/>
        <w:contextualSpacing w:val="0"/>
        <w:jc w:val="both"/>
        <w:rPr>
          <w:rFonts w:ascii="David" w:hAnsi="David"/>
          <w:rtl/>
        </w:rPr>
      </w:pPr>
      <w:r w:rsidRPr="00383D0C">
        <w:rPr>
          <w:rFonts w:ascii="David" w:hAnsi="David"/>
          <w:u w:val="single"/>
          <w:rtl/>
        </w:rPr>
        <w:t>מבחן נסיבות עריכת הצוואה</w:t>
      </w:r>
      <w:r w:rsidRPr="00383D0C">
        <w:rPr>
          <w:rFonts w:ascii="David" w:hAnsi="David"/>
          <w:rtl/>
        </w:rPr>
        <w:t xml:space="preserve"> - בחינת מידת מעורבותו של הנהנה בעריכת הצוואה, כאשר זו נטענת אך לא מקימה עילה לפסילת הוראות הצוואה לטובת הנהנה בהתאם לסעיף 35 לחוק.</w:t>
      </w:r>
    </w:p>
    <w:p w:rsidR="00383D0C" w:rsidRDefault="00383D0C" w:rsidP="00D340D1">
      <w:pPr>
        <w:pStyle w:val="ad"/>
        <w:bidi/>
        <w:spacing w:line="360" w:lineRule="auto"/>
        <w:ind w:left="363"/>
        <w:contextualSpacing w:val="0"/>
        <w:jc w:val="both"/>
        <w:rPr>
          <w:rFonts w:ascii="David" w:hAnsi="David"/>
          <w:rtl/>
        </w:rPr>
      </w:pPr>
    </w:p>
    <w:p w:rsidR="00631D0D" w:rsidRDefault="00631D0D" w:rsidP="00383D0C">
      <w:pPr>
        <w:pStyle w:val="ad"/>
        <w:numPr>
          <w:ilvl w:val="0"/>
          <w:numId w:val="1"/>
        </w:numPr>
        <w:bidi/>
        <w:spacing w:line="360" w:lineRule="auto"/>
        <w:ind w:left="567" w:hanging="561"/>
        <w:contextualSpacing w:val="0"/>
        <w:jc w:val="both"/>
        <w:rPr>
          <w:rFonts w:ascii="David" w:hAnsi="David"/>
        </w:rPr>
      </w:pPr>
      <w:r w:rsidRPr="00383D0C">
        <w:rPr>
          <w:rFonts w:ascii="David" w:hAnsi="David"/>
          <w:rtl/>
        </w:rPr>
        <w:lastRenderedPageBreak/>
        <w:t xml:space="preserve">מבחנים אלה אינם בגדר רשימה סגורה, ובית המשפט רשאי לעשות שימוש במבחנים נוספים לגיבוש הכרעתו. כמו כן, אין המדובר במבחנים מצטברים ולמעשה די בקיום חלקם כדי להצביע על השפעה כאמור ובלבד שהשימוש במבחנים ייעשה בזהירות רבה (שם, עמ' 827-831). </w:t>
      </w:r>
    </w:p>
    <w:p w:rsidR="00383D0C" w:rsidRPr="00383D0C" w:rsidRDefault="00383D0C" w:rsidP="00383D0C">
      <w:pPr>
        <w:pStyle w:val="ad"/>
        <w:bidi/>
        <w:spacing w:line="360" w:lineRule="auto"/>
        <w:ind w:left="567"/>
        <w:contextualSpacing w:val="0"/>
        <w:jc w:val="both"/>
        <w:rPr>
          <w:rFonts w:ascii="David" w:hAnsi="David"/>
          <w:sz w:val="16"/>
          <w:szCs w:val="16"/>
        </w:rPr>
      </w:pPr>
    </w:p>
    <w:p w:rsidR="00631D0D" w:rsidRDefault="00631D0D" w:rsidP="00383D0C">
      <w:pPr>
        <w:pStyle w:val="ad"/>
        <w:numPr>
          <w:ilvl w:val="0"/>
          <w:numId w:val="1"/>
        </w:numPr>
        <w:bidi/>
        <w:spacing w:line="360" w:lineRule="auto"/>
        <w:ind w:left="567" w:hanging="561"/>
        <w:contextualSpacing w:val="0"/>
        <w:jc w:val="both"/>
        <w:rPr>
          <w:rFonts w:ascii="David" w:hAnsi="David"/>
        </w:rPr>
      </w:pPr>
      <w:bookmarkStart w:id="4" w:name="_Ref167952104"/>
      <w:r w:rsidRPr="00383D0C">
        <w:rPr>
          <w:rFonts w:ascii="David" w:hAnsi="David"/>
          <w:rtl/>
        </w:rPr>
        <w:t xml:space="preserve">בנוסף, נקבע כי במקרה בו עולה מעורבותו של הנהנה מן הצוואה בבחירת עורך הדין אשר יערוך אותה, מתחייבת בחינה זהירה של נסיבות העניין כדי לוודא שאין בהן כדי להצביע על השפעה בלתי הוגנת (ר' ע"א 2500/93 </w:t>
      </w:r>
      <w:r w:rsidRPr="00383D0C">
        <w:rPr>
          <w:rFonts w:ascii="David" w:hAnsi="David"/>
          <w:b/>
          <w:bCs/>
          <w:rtl/>
        </w:rPr>
        <w:t>שטיינר נ' המפעל לעזרה הדדית של ארגון עולי מרכז אירופה ואח'</w:t>
      </w:r>
      <w:r w:rsidRPr="00383D0C">
        <w:rPr>
          <w:rFonts w:ascii="David" w:hAnsi="David"/>
          <w:rtl/>
        </w:rPr>
        <w:t xml:space="preserve">, פ"ד נ(3) 338, 345 (להלן: </w:t>
      </w:r>
      <w:r w:rsidRPr="00383D0C">
        <w:rPr>
          <w:rFonts w:ascii="Miriam" w:hAnsi="Miriam" w:cs="Miriam"/>
          <w:b/>
          <w:bCs/>
          <w:sz w:val="22"/>
          <w:szCs w:val="22"/>
          <w:rtl/>
        </w:rPr>
        <w:t>עניין שטיינר</w:t>
      </w:r>
      <w:r w:rsidRPr="00383D0C">
        <w:rPr>
          <w:rFonts w:ascii="David" w:hAnsi="David"/>
          <w:rtl/>
        </w:rPr>
        <w:t>)).</w:t>
      </w:r>
      <w:bookmarkEnd w:id="4"/>
      <w:r w:rsidRPr="00383D0C">
        <w:rPr>
          <w:rFonts w:ascii="David" w:hAnsi="David"/>
          <w:rtl/>
        </w:rPr>
        <w:t xml:space="preserve"> הנטל להוכיח שהמצווה עשה את צוואתו מחמת השפעה בלתי הוגנת, מוטל על הטוען לקיומה של השפעה בלתי הוגנת, </w:t>
      </w:r>
      <w:r w:rsidRPr="00383D0C">
        <w:rPr>
          <w:rFonts w:ascii="David" w:hAnsi="David"/>
          <w:u w:val="single"/>
          <w:rtl/>
        </w:rPr>
        <w:t>וכל ספק בעניין זה פועל לטובת מבקש הקיום</w:t>
      </w:r>
      <w:r w:rsidRPr="00383D0C">
        <w:rPr>
          <w:rFonts w:ascii="David" w:hAnsi="David"/>
          <w:rtl/>
        </w:rPr>
        <w:t xml:space="preserve"> (ר' ע"א 190/68 </w:t>
      </w:r>
      <w:r w:rsidRPr="00383D0C">
        <w:rPr>
          <w:rFonts w:ascii="David" w:hAnsi="David"/>
          <w:b/>
          <w:bCs/>
          <w:rtl/>
        </w:rPr>
        <w:t>סוטיצקי נ' קלינברוט</w:t>
      </w:r>
      <w:r w:rsidRPr="00383D0C">
        <w:rPr>
          <w:rFonts w:ascii="David" w:hAnsi="David"/>
          <w:rtl/>
        </w:rPr>
        <w:t xml:space="preserve">, פ"ד כב(2) 138, 139 (1968) וע"א 53/88 </w:t>
      </w:r>
      <w:r w:rsidRPr="00383D0C">
        <w:rPr>
          <w:rFonts w:ascii="David" w:hAnsi="David"/>
          <w:b/>
          <w:bCs/>
          <w:rtl/>
        </w:rPr>
        <w:t>מנלה נ' ברנדווין</w:t>
      </w:r>
      <w:r w:rsidRPr="00383D0C">
        <w:rPr>
          <w:rFonts w:ascii="David" w:hAnsi="David"/>
          <w:rtl/>
        </w:rPr>
        <w:t>, פ"ד מו(1) 48, 51-49(1991)). עוד נקבע כי כאשר הנסיבות מצביעות על קיומה של תלות המצווה בזולתו, שהיא "</w:t>
      </w:r>
      <w:r w:rsidRPr="00383D0C">
        <w:rPr>
          <w:rFonts w:ascii="David" w:hAnsi="David"/>
          <w:b/>
          <w:bCs/>
          <w:rtl/>
        </w:rPr>
        <w:t>כה מקיפה ויסודית שניתן להניח כי נשלל רצונו החופשי והבלתי תלוי של אותו אדם במה שנוגע ליחסים שבינו לבין הזולת</w:t>
      </w:r>
      <w:r w:rsidRPr="00383D0C">
        <w:rPr>
          <w:rFonts w:ascii="David" w:hAnsi="David"/>
          <w:rtl/>
        </w:rPr>
        <w:t xml:space="preserve">", כי אז נטל הבאת הראיות יעבור למבקש את קיומה של הצוואה. עם זאת, גם במקרה כאמור ימשיך נטל השכנוע להוכחת הטענה בדבר השפעה בלתי הוגנת לרבוץ על המתנגד לצוואה (ר' ע"א 423/75 </w:t>
      </w:r>
      <w:r w:rsidRPr="00383D0C">
        <w:rPr>
          <w:rFonts w:ascii="David" w:hAnsi="David"/>
          <w:b/>
          <w:bCs/>
          <w:rtl/>
        </w:rPr>
        <w:t>בן נון נ' ריכטר</w:t>
      </w:r>
      <w:r w:rsidRPr="00383D0C">
        <w:rPr>
          <w:rFonts w:ascii="David" w:hAnsi="David"/>
          <w:rtl/>
        </w:rPr>
        <w:t>, פ"ד לא(1) 372 (1976); דנ"א מרום).</w:t>
      </w:r>
    </w:p>
    <w:p w:rsidR="00383D0C" w:rsidRPr="00383D0C" w:rsidRDefault="00383D0C" w:rsidP="00383D0C">
      <w:pPr>
        <w:pStyle w:val="ad"/>
        <w:rPr>
          <w:rFonts w:ascii="David" w:hAnsi="David"/>
          <w:sz w:val="16"/>
          <w:szCs w:val="16"/>
          <w:rtl/>
        </w:rPr>
      </w:pPr>
    </w:p>
    <w:p w:rsidR="00631D0D" w:rsidRDefault="00631D0D" w:rsidP="00383D0C">
      <w:pPr>
        <w:pStyle w:val="ad"/>
        <w:numPr>
          <w:ilvl w:val="0"/>
          <w:numId w:val="1"/>
        </w:numPr>
        <w:bidi/>
        <w:spacing w:line="360" w:lineRule="auto"/>
        <w:ind w:left="567" w:hanging="561"/>
        <w:contextualSpacing w:val="0"/>
        <w:jc w:val="both"/>
        <w:rPr>
          <w:rFonts w:ascii="David" w:hAnsi="David"/>
        </w:rPr>
      </w:pPr>
      <w:bookmarkStart w:id="5" w:name="_Ref167956285"/>
      <w:r w:rsidRPr="00383D0C">
        <w:rPr>
          <w:rFonts w:ascii="David" w:hAnsi="David"/>
          <w:rtl/>
        </w:rPr>
        <w:t>ומן הכלל אל הפרט</w:t>
      </w:r>
      <w:bookmarkEnd w:id="5"/>
      <w:r w:rsidR="00383D0C">
        <w:rPr>
          <w:rFonts w:ascii="David" w:hAnsi="David" w:hint="cs"/>
          <w:rtl/>
        </w:rPr>
        <w:t>;</w:t>
      </w:r>
    </w:p>
    <w:p w:rsidR="00C15857" w:rsidRPr="000A1F4B" w:rsidRDefault="00C15857" w:rsidP="00C15857">
      <w:pPr>
        <w:pStyle w:val="ad"/>
        <w:rPr>
          <w:rFonts w:ascii="David" w:hAnsi="David"/>
          <w:sz w:val="16"/>
          <w:szCs w:val="16"/>
          <w:rtl/>
        </w:rPr>
      </w:pPr>
    </w:p>
    <w:p w:rsidR="00631D0D" w:rsidRDefault="00631D0D" w:rsidP="00C15857">
      <w:pPr>
        <w:pStyle w:val="ad"/>
        <w:numPr>
          <w:ilvl w:val="0"/>
          <w:numId w:val="1"/>
        </w:numPr>
        <w:bidi/>
        <w:spacing w:line="360" w:lineRule="auto"/>
        <w:ind w:left="567" w:hanging="561"/>
        <w:contextualSpacing w:val="0"/>
        <w:jc w:val="both"/>
        <w:rPr>
          <w:rFonts w:ascii="David" w:hAnsi="David"/>
        </w:rPr>
      </w:pPr>
      <w:r w:rsidRPr="00C15857">
        <w:rPr>
          <w:rFonts w:ascii="David" w:hAnsi="David"/>
          <w:rtl/>
        </w:rPr>
        <w:t xml:space="preserve">בענייננו נדרשת בחינה זהירה של נסיבות העניין כדי לוודא שאינן מצביעות על השפעה בלתי הוגנת מצד האשה על המנוח, מן הטעם, כפי שהובא בסעיף </w:t>
      </w:r>
      <w:r w:rsidRPr="00C15857">
        <w:rPr>
          <w:rFonts w:ascii="David" w:hAnsi="David"/>
          <w:rtl/>
        </w:rPr>
        <w:fldChar w:fldCharType="begin"/>
      </w:r>
      <w:r w:rsidRPr="00C15857">
        <w:rPr>
          <w:rFonts w:ascii="David" w:hAnsi="David"/>
          <w:rtl/>
        </w:rPr>
        <w:instrText xml:space="preserve"> </w:instrText>
      </w:r>
      <w:r w:rsidRPr="00C15857">
        <w:rPr>
          <w:rFonts w:ascii="David" w:hAnsi="David"/>
        </w:rPr>
        <w:instrText>REF</w:instrText>
      </w:r>
      <w:r w:rsidRPr="00C15857">
        <w:rPr>
          <w:rFonts w:ascii="David" w:hAnsi="David"/>
          <w:rtl/>
        </w:rPr>
        <w:instrText xml:space="preserve"> _</w:instrText>
      </w:r>
      <w:r w:rsidRPr="00C15857">
        <w:rPr>
          <w:rFonts w:ascii="David" w:hAnsi="David"/>
        </w:rPr>
        <w:instrText>Ref167952104 \r \h</w:instrText>
      </w:r>
      <w:r w:rsidRPr="00C15857">
        <w:rPr>
          <w:rFonts w:ascii="David" w:hAnsi="David"/>
          <w:rtl/>
        </w:rPr>
        <w:instrText xml:space="preserve"> </w:instrText>
      </w:r>
      <w:r w:rsidRPr="00C15857">
        <w:rPr>
          <w:rFonts w:ascii="David" w:hAnsi="David"/>
          <w:rtl/>
        </w:rPr>
      </w:r>
      <w:r w:rsidRPr="00C15857">
        <w:rPr>
          <w:rFonts w:ascii="David" w:hAnsi="David"/>
          <w:rtl/>
        </w:rPr>
        <w:fldChar w:fldCharType="separate"/>
      </w:r>
      <w:r w:rsidR="00383D0C" w:rsidRPr="00C15857">
        <w:rPr>
          <w:rFonts w:ascii="David" w:hAnsi="David"/>
          <w:cs/>
        </w:rPr>
        <w:t>‎</w:t>
      </w:r>
      <w:r w:rsidR="00383D0C" w:rsidRPr="00C15857">
        <w:rPr>
          <w:rFonts w:ascii="David" w:hAnsi="David"/>
        </w:rPr>
        <w:t>29</w:t>
      </w:r>
      <w:r w:rsidRPr="00C15857">
        <w:rPr>
          <w:rFonts w:ascii="David" w:hAnsi="David"/>
          <w:rtl/>
        </w:rPr>
        <w:fldChar w:fldCharType="end"/>
      </w:r>
      <w:r w:rsidRPr="00C15857">
        <w:rPr>
          <w:rFonts w:ascii="David" w:hAnsi="David"/>
          <w:rtl/>
        </w:rPr>
        <w:t xml:space="preserve"> לעיל, שהיא זו שבחרה את זהות עורך הדין שערך את הצוואה והתקשרה עמו בשם המנוח, וזה אף ייצג אותה בתחילת הההליך הנ"ל וכן מייצג את</w:t>
      </w:r>
      <w:r w:rsidR="00C15857">
        <w:rPr>
          <w:rFonts w:ascii="David" w:hAnsi="David" w:hint="cs"/>
          <w:rtl/>
        </w:rPr>
        <w:t xml:space="preserve"> עניינה </w:t>
      </w:r>
      <w:r w:rsidRPr="00C15857">
        <w:rPr>
          <w:rFonts w:ascii="David" w:hAnsi="David"/>
          <w:rtl/>
        </w:rPr>
        <w:t>בהליך נוסף בין הצדדים</w:t>
      </w:r>
      <w:r w:rsidR="00C15857">
        <w:rPr>
          <w:rFonts w:ascii="David" w:hAnsi="David" w:hint="cs"/>
          <w:rtl/>
        </w:rPr>
        <w:t>,</w:t>
      </w:r>
      <w:r w:rsidRPr="00C15857">
        <w:rPr>
          <w:rFonts w:ascii="David" w:hAnsi="David"/>
          <w:rtl/>
        </w:rPr>
        <w:t xml:space="preserve"> העומד כעת בשיהוי עד לבירור ענייננו הנדון. </w:t>
      </w:r>
    </w:p>
    <w:p w:rsidR="00C15857" w:rsidRPr="00C15857" w:rsidRDefault="00C15857" w:rsidP="00C15857">
      <w:pPr>
        <w:pStyle w:val="ad"/>
        <w:rPr>
          <w:rFonts w:ascii="David" w:hAnsi="David"/>
          <w:sz w:val="16"/>
          <w:szCs w:val="16"/>
          <w:rtl/>
        </w:rPr>
      </w:pPr>
    </w:p>
    <w:p w:rsidR="00631D0D" w:rsidRDefault="00631D0D" w:rsidP="00C15857">
      <w:pPr>
        <w:pStyle w:val="ad"/>
        <w:numPr>
          <w:ilvl w:val="0"/>
          <w:numId w:val="1"/>
        </w:numPr>
        <w:bidi/>
        <w:spacing w:line="360" w:lineRule="auto"/>
        <w:ind w:left="567" w:hanging="561"/>
        <w:contextualSpacing w:val="0"/>
        <w:jc w:val="both"/>
        <w:rPr>
          <w:rFonts w:ascii="David" w:hAnsi="David"/>
        </w:rPr>
      </w:pPr>
      <w:r w:rsidRPr="00C15857">
        <w:rPr>
          <w:rFonts w:ascii="David" w:hAnsi="David"/>
          <w:rtl/>
        </w:rPr>
        <w:t>יחד עם זאת, עצם בחירתה את עורך הדין מחייב בדיקה זהירה אך לא מצביע, כשלעצמו, על קיומה של השפעה בלתי הוגנת (ר' עניין שטיינר בעמ' 349). מחד, לא ניתן לומר בלא היסוס שהמנוח קיבל ייעוץ משפטי עצמאי ובלתי-תלוי. מאידך, "</w:t>
      </w:r>
      <w:r w:rsidRPr="00C15857">
        <w:rPr>
          <w:rFonts w:ascii="David" w:hAnsi="David"/>
          <w:b/>
          <w:bCs/>
          <w:rtl/>
        </w:rPr>
        <w:t>אם המצווה נזקק לעזרת אחרים לצורך עריכת צוואתו (כבחירת עורך דין [...]) סביר להניח כי מי שיסייע לו בפעולה כאמור יהיו האנשים הקרובים לו, ואין לומר כי מי שיסייע למצווה בפעולות כאלה, לא יהיה זכאי לרשת את מה שהמצווה התכוון ממילא לצוות לו</w:t>
      </w:r>
      <w:r w:rsidRPr="00C15857">
        <w:rPr>
          <w:rFonts w:ascii="David" w:hAnsi="David"/>
          <w:rtl/>
        </w:rPr>
        <w:t xml:space="preserve">" (ר' ע"א 142/80 </w:t>
      </w:r>
      <w:r w:rsidRPr="00C15857">
        <w:rPr>
          <w:rFonts w:ascii="David" w:hAnsi="David"/>
          <w:b/>
          <w:bCs/>
          <w:rtl/>
        </w:rPr>
        <w:t>לאה מירסקי נ' מנחם מירסקי</w:t>
      </w:r>
      <w:r w:rsidRPr="00C15857">
        <w:rPr>
          <w:rFonts w:ascii="David" w:hAnsi="David"/>
          <w:rtl/>
        </w:rPr>
        <w:t>, לה(2) 155 (1980)).</w:t>
      </w:r>
    </w:p>
    <w:p w:rsidR="00C15857" w:rsidRPr="00C15857" w:rsidRDefault="00C15857" w:rsidP="00C15857">
      <w:pPr>
        <w:pStyle w:val="ad"/>
        <w:rPr>
          <w:rFonts w:ascii="David" w:hAnsi="David"/>
          <w:sz w:val="16"/>
          <w:szCs w:val="16"/>
          <w:rtl/>
        </w:rPr>
      </w:pPr>
    </w:p>
    <w:p w:rsidR="00631D0D" w:rsidRDefault="00631D0D" w:rsidP="00C15857">
      <w:pPr>
        <w:pStyle w:val="ad"/>
        <w:numPr>
          <w:ilvl w:val="0"/>
          <w:numId w:val="1"/>
        </w:numPr>
        <w:bidi/>
        <w:spacing w:line="360" w:lineRule="auto"/>
        <w:ind w:left="567" w:hanging="561"/>
        <w:contextualSpacing w:val="0"/>
        <w:jc w:val="both"/>
        <w:rPr>
          <w:rFonts w:ascii="David" w:hAnsi="David"/>
        </w:rPr>
      </w:pPr>
      <w:r w:rsidRPr="00C15857">
        <w:rPr>
          <w:rFonts w:ascii="David" w:hAnsi="David"/>
          <w:rtl/>
        </w:rPr>
        <w:t xml:space="preserve">אדרש, אפוא, לבחינה זהירה של ארבע אבני הבוחן הפסיקתיות לעניין קיומה של תלות באשר לקשר בין המנוח והאשה. </w:t>
      </w:r>
    </w:p>
    <w:p w:rsidR="00C15857" w:rsidRPr="00C15857" w:rsidRDefault="00C15857" w:rsidP="00C15857">
      <w:pPr>
        <w:pStyle w:val="ad"/>
        <w:rPr>
          <w:rFonts w:ascii="David" w:hAnsi="David"/>
          <w:sz w:val="16"/>
          <w:szCs w:val="16"/>
          <w:rtl/>
        </w:rPr>
      </w:pPr>
    </w:p>
    <w:p w:rsidR="00631D0D" w:rsidRPr="00C15857" w:rsidRDefault="00631D0D" w:rsidP="00C15857">
      <w:pPr>
        <w:pStyle w:val="ad"/>
        <w:numPr>
          <w:ilvl w:val="0"/>
          <w:numId w:val="8"/>
        </w:numPr>
        <w:bidi/>
        <w:spacing w:line="360" w:lineRule="auto"/>
        <w:ind w:hanging="513"/>
        <w:contextualSpacing w:val="0"/>
        <w:jc w:val="both"/>
        <w:rPr>
          <w:rFonts w:ascii="David" w:hAnsi="David"/>
        </w:rPr>
      </w:pPr>
      <w:r w:rsidRPr="00C15857">
        <w:rPr>
          <w:rFonts w:ascii="David" w:hAnsi="David"/>
          <w:u w:val="single"/>
          <w:rtl/>
        </w:rPr>
        <w:t>מבחן העצמאות</w:t>
      </w:r>
      <w:r w:rsidRPr="00C15857">
        <w:rPr>
          <w:rFonts w:ascii="David" w:hAnsi="David"/>
          <w:rtl/>
        </w:rPr>
        <w:t xml:space="preserve"> - ממכלול העדויות, אין חולק כי עצמאותו הפיזית של המנוח נשחקה בחודש הקודם לעריכת הצוואה, וזה הסתייע באשה. כך, למשל, נאמר בקולה:</w:t>
      </w:r>
    </w:p>
    <w:p w:rsidR="00631D0D" w:rsidRDefault="00631D0D" w:rsidP="00D340D1">
      <w:pPr>
        <w:pStyle w:val="ad"/>
        <w:bidi/>
        <w:spacing w:line="360" w:lineRule="auto"/>
        <w:ind w:left="1080"/>
        <w:contextualSpacing w:val="0"/>
        <w:jc w:val="both"/>
        <w:rPr>
          <w:rFonts w:ascii="David" w:hAnsi="David"/>
        </w:rPr>
      </w:pPr>
      <w:r>
        <w:rPr>
          <w:rFonts w:ascii="David" w:hAnsi="David"/>
          <w:rtl/>
        </w:rPr>
        <w:t>"ש:</w:t>
      </w:r>
      <w:r>
        <w:rPr>
          <w:rFonts w:ascii="David" w:hAnsi="David"/>
          <w:rtl/>
        </w:rPr>
        <w:tab/>
      </w:r>
      <w:r>
        <w:rPr>
          <w:rFonts w:ascii="David" w:hAnsi="David"/>
          <w:rtl/>
        </w:rPr>
        <w:tab/>
      </w:r>
      <w:r>
        <w:rPr>
          <w:rFonts w:ascii="David" w:hAnsi="David"/>
          <w:b/>
          <w:bCs/>
          <w:rtl/>
        </w:rPr>
        <w:t>קילחת אותו מינואר עד מרץ?</w:t>
      </w:r>
      <w:r>
        <w:rPr>
          <w:rFonts w:ascii="David" w:hAnsi="David"/>
          <w:rtl/>
        </w:rPr>
        <w:t xml:space="preserve"> </w:t>
      </w:r>
    </w:p>
    <w:p w:rsidR="00631D0D" w:rsidRDefault="00631D0D" w:rsidP="00D340D1">
      <w:pPr>
        <w:pStyle w:val="ad"/>
        <w:bidi/>
        <w:spacing w:line="360" w:lineRule="auto"/>
        <w:ind w:left="1080"/>
        <w:contextualSpacing w:val="0"/>
        <w:jc w:val="both"/>
        <w:rPr>
          <w:rFonts w:ascii="David" w:hAnsi="David"/>
          <w:rtl/>
        </w:rPr>
      </w:pPr>
      <w:r>
        <w:rPr>
          <w:rFonts w:ascii="David" w:hAnsi="David"/>
          <w:rtl/>
        </w:rPr>
        <w:t>ת:</w:t>
      </w:r>
      <w:r>
        <w:rPr>
          <w:rFonts w:ascii="David" w:hAnsi="David"/>
          <w:rtl/>
        </w:rPr>
        <w:tab/>
      </w:r>
      <w:r>
        <w:rPr>
          <w:rFonts w:ascii="David" w:hAnsi="David"/>
          <w:rtl/>
        </w:rPr>
        <w:tab/>
      </w:r>
      <w:r>
        <w:rPr>
          <w:rFonts w:ascii="David" w:hAnsi="David"/>
          <w:b/>
          <w:bCs/>
          <w:rtl/>
        </w:rPr>
        <w:t>כן.</w:t>
      </w:r>
    </w:p>
    <w:p w:rsidR="00631D0D" w:rsidRDefault="00631D0D" w:rsidP="00D340D1">
      <w:pPr>
        <w:pStyle w:val="ad"/>
        <w:bidi/>
        <w:spacing w:line="360" w:lineRule="auto"/>
        <w:ind w:left="2160" w:hanging="1080"/>
        <w:contextualSpacing w:val="0"/>
        <w:jc w:val="both"/>
        <w:rPr>
          <w:rFonts w:ascii="David" w:hAnsi="David"/>
        </w:rPr>
      </w:pPr>
      <w:r>
        <w:rPr>
          <w:rFonts w:ascii="David" w:hAnsi="David"/>
          <w:rtl/>
        </w:rPr>
        <w:lastRenderedPageBreak/>
        <w:t>ש:</w:t>
      </w:r>
      <w:r>
        <w:rPr>
          <w:rFonts w:ascii="David" w:hAnsi="David"/>
          <w:rtl/>
        </w:rPr>
        <w:tab/>
      </w:r>
      <w:r>
        <w:rPr>
          <w:rFonts w:ascii="David" w:hAnsi="David"/>
          <w:b/>
          <w:bCs/>
          <w:rtl/>
        </w:rPr>
        <w:t>כן. תאמרי לי בבקשה, את מאשרת שבתקופה הזו הוא היה תלוי בך, כי אם את היית צריכה לצאת, היית מביאה מישהי שתישאר במקומך.</w:t>
      </w:r>
    </w:p>
    <w:p w:rsidR="00631D0D" w:rsidRDefault="00631D0D" w:rsidP="00C15857">
      <w:pPr>
        <w:pStyle w:val="ad"/>
        <w:bidi/>
        <w:spacing w:line="360" w:lineRule="auto"/>
        <w:ind w:left="2160" w:hanging="1080"/>
        <w:contextualSpacing w:val="0"/>
        <w:jc w:val="both"/>
        <w:rPr>
          <w:rFonts w:ascii="David" w:hAnsi="David"/>
          <w:rtl/>
        </w:rPr>
      </w:pPr>
      <w:r>
        <w:rPr>
          <w:rFonts w:ascii="David" w:hAnsi="David"/>
          <w:rtl/>
        </w:rPr>
        <w:t>ת:</w:t>
      </w:r>
      <w:r>
        <w:rPr>
          <w:rFonts w:ascii="David" w:hAnsi="David"/>
          <w:rtl/>
        </w:rPr>
        <w:tab/>
      </w:r>
      <w:r>
        <w:rPr>
          <w:rFonts w:ascii="David" w:hAnsi="David"/>
          <w:b/>
          <w:bCs/>
          <w:rtl/>
        </w:rPr>
        <w:t xml:space="preserve">נכון. הוא לבד </w:t>
      </w:r>
      <w:r>
        <w:rPr>
          <w:rFonts w:ascii="David" w:hAnsi="David"/>
          <w:b/>
          <w:bCs/>
          <w:u w:val="single"/>
          <w:rtl/>
        </w:rPr>
        <w:t>אף פעם</w:t>
      </w:r>
      <w:r>
        <w:rPr>
          <w:rFonts w:ascii="David" w:hAnsi="David"/>
          <w:b/>
          <w:bCs/>
          <w:rtl/>
        </w:rPr>
        <w:t xml:space="preserve"> לא היה בבית</w:t>
      </w:r>
      <w:r>
        <w:rPr>
          <w:rFonts w:ascii="David" w:hAnsi="David"/>
          <w:rtl/>
        </w:rPr>
        <w:t>"</w:t>
      </w:r>
      <w:r w:rsidR="00C15857">
        <w:rPr>
          <w:rFonts w:ascii="David" w:hAnsi="David" w:hint="cs"/>
          <w:rtl/>
        </w:rPr>
        <w:t xml:space="preserve"> </w:t>
      </w:r>
      <w:r w:rsidRPr="00C15857">
        <w:rPr>
          <w:rFonts w:ascii="David" w:hAnsi="David"/>
          <w:rtl/>
        </w:rPr>
        <w:t>(ר' פרוטוקול מיום 4.7.2022, עמ' 42 ש' 13-9, הדגשה לא במקור).</w:t>
      </w:r>
    </w:p>
    <w:p w:rsidR="00C15857" w:rsidRDefault="00C15857" w:rsidP="00D340D1">
      <w:pPr>
        <w:pStyle w:val="ad"/>
        <w:bidi/>
        <w:spacing w:line="360" w:lineRule="auto"/>
        <w:ind w:left="1080"/>
        <w:contextualSpacing w:val="0"/>
        <w:jc w:val="both"/>
        <w:rPr>
          <w:rFonts w:ascii="David" w:hAnsi="David"/>
          <w:rtl/>
        </w:rPr>
      </w:pPr>
    </w:p>
    <w:p w:rsidR="00631D0D" w:rsidRDefault="00631D0D" w:rsidP="00A01D95">
      <w:pPr>
        <w:pStyle w:val="ad"/>
        <w:bidi/>
        <w:spacing w:line="360" w:lineRule="auto"/>
        <w:ind w:left="1080"/>
        <w:contextualSpacing w:val="0"/>
        <w:jc w:val="both"/>
        <w:rPr>
          <w:rFonts w:ascii="David" w:hAnsi="David"/>
          <w:rtl/>
        </w:rPr>
      </w:pPr>
      <w:r>
        <w:rPr>
          <w:rFonts w:ascii="David" w:hAnsi="David"/>
          <w:rtl/>
        </w:rPr>
        <w:t>בנוסף, לשאלה "</w:t>
      </w:r>
      <w:r>
        <w:rPr>
          <w:rFonts w:ascii="David" w:hAnsi="David"/>
          <w:b/>
          <w:bCs/>
          <w:rtl/>
        </w:rPr>
        <w:t>תאשרי</w:t>
      </w:r>
      <w:r>
        <w:rPr>
          <w:rFonts w:ascii="David" w:hAnsi="David"/>
          <w:rtl/>
        </w:rPr>
        <w:t xml:space="preserve"> </w:t>
      </w:r>
      <w:r>
        <w:rPr>
          <w:rFonts w:ascii="David" w:hAnsi="David"/>
          <w:b/>
          <w:bCs/>
          <w:rtl/>
        </w:rPr>
        <w:t>שאת היית שולטת על התרופות</w:t>
      </w:r>
      <w:r>
        <w:rPr>
          <w:rFonts w:ascii="David" w:hAnsi="David"/>
          <w:rtl/>
        </w:rPr>
        <w:t xml:space="preserve"> [שנוטל המנוח – י' ש']" השיבה ה</w:t>
      </w:r>
      <w:r w:rsidR="00534802">
        <w:rPr>
          <w:rFonts w:ascii="David" w:hAnsi="David" w:hint="cs"/>
          <w:rtl/>
        </w:rPr>
        <w:t>אשה</w:t>
      </w:r>
      <w:r>
        <w:rPr>
          <w:rFonts w:ascii="David" w:hAnsi="David"/>
          <w:rtl/>
        </w:rPr>
        <w:t xml:space="preserve"> "</w:t>
      </w:r>
      <w:r>
        <w:rPr>
          <w:rFonts w:ascii="David" w:hAnsi="David"/>
          <w:b/>
          <w:bCs/>
          <w:rtl/>
        </w:rPr>
        <w:t>נכון</w:t>
      </w:r>
      <w:r>
        <w:rPr>
          <w:rFonts w:ascii="David" w:hAnsi="David"/>
          <w:rtl/>
        </w:rPr>
        <w:t>" (שם, עמ' 43 ש' 25-22). ה</w:t>
      </w:r>
      <w:r w:rsidR="00534802">
        <w:rPr>
          <w:rFonts w:ascii="David" w:hAnsi="David" w:hint="cs"/>
          <w:rtl/>
        </w:rPr>
        <w:t>אשה</w:t>
      </w:r>
      <w:r>
        <w:rPr>
          <w:rFonts w:ascii="David" w:hAnsi="David"/>
          <w:rtl/>
        </w:rPr>
        <w:t xml:space="preserve"> אף הגדילה </w:t>
      </w:r>
      <w:r w:rsidR="00C15857">
        <w:rPr>
          <w:rFonts w:ascii="David" w:hAnsi="David" w:hint="cs"/>
          <w:rtl/>
        </w:rPr>
        <w:t>ו</w:t>
      </w:r>
      <w:r>
        <w:rPr>
          <w:rFonts w:ascii="David" w:hAnsi="David"/>
          <w:rtl/>
        </w:rPr>
        <w:t>התקי</w:t>
      </w:r>
      <w:r w:rsidR="00C15857">
        <w:rPr>
          <w:rFonts w:ascii="David" w:hAnsi="David" w:hint="cs"/>
          <w:rtl/>
        </w:rPr>
        <w:t>נה</w:t>
      </w:r>
      <w:r>
        <w:rPr>
          <w:rFonts w:ascii="David" w:hAnsi="David"/>
          <w:rtl/>
        </w:rPr>
        <w:t xml:space="preserve"> מצלמות בסלון הבית, לשיטתה</w:t>
      </w:r>
      <w:r w:rsidR="00C15857">
        <w:rPr>
          <w:rFonts w:ascii="David" w:hAnsi="David" w:hint="cs"/>
          <w:rtl/>
        </w:rPr>
        <w:t>,</w:t>
      </w:r>
      <w:r>
        <w:rPr>
          <w:rFonts w:ascii="David" w:hAnsi="David"/>
          <w:rtl/>
        </w:rPr>
        <w:t xml:space="preserve"> לצורך שמירה על המנוח שנזקק להשגחה כל העת. כך לדבריה: "</w:t>
      </w:r>
      <w:r>
        <w:rPr>
          <w:rFonts w:ascii="David" w:hAnsi="David"/>
          <w:b/>
          <w:bCs/>
          <w:rtl/>
        </w:rPr>
        <w:t>אני התקנתי מצלמה ביתר ביטחון. זה הכל.</w:t>
      </w:r>
      <w:r>
        <w:rPr>
          <w:rFonts w:ascii="David" w:hAnsi="David"/>
          <w:rtl/>
        </w:rPr>
        <w:t xml:space="preserve"> [...] </w:t>
      </w:r>
      <w:r>
        <w:rPr>
          <w:rFonts w:ascii="David" w:eastAsiaTheme="minorHAnsi" w:hAnsi="David"/>
          <w:b/>
          <w:bCs/>
          <w:noProof w:val="0"/>
          <w:rtl/>
        </w:rPr>
        <w:t>המטרה</w:t>
      </w:r>
      <w:r>
        <w:rPr>
          <w:rFonts w:ascii="David" w:eastAsiaTheme="minorHAnsi" w:hAnsi="David"/>
          <w:b/>
          <w:bCs/>
          <w:noProof w:val="0"/>
        </w:rPr>
        <w:t xml:space="preserve"> </w:t>
      </w:r>
      <w:r>
        <w:rPr>
          <w:rFonts w:ascii="David" w:eastAsiaTheme="minorHAnsi" w:hAnsi="David"/>
          <w:b/>
          <w:bCs/>
          <w:noProof w:val="0"/>
          <w:rtl/>
        </w:rPr>
        <w:t>שאנשים,</w:t>
      </w:r>
      <w:r>
        <w:rPr>
          <w:rFonts w:ascii="David" w:eastAsiaTheme="minorHAnsi" w:hAnsi="David"/>
          <w:b/>
          <w:bCs/>
          <w:noProof w:val="0"/>
        </w:rPr>
        <w:t xml:space="preserve"> </w:t>
      </w:r>
      <w:r>
        <w:rPr>
          <w:rFonts w:ascii="David" w:eastAsiaTheme="minorHAnsi" w:hAnsi="David"/>
          <w:b/>
          <w:bCs/>
          <w:noProof w:val="0"/>
          <w:rtl/>
        </w:rPr>
        <w:t>אם</w:t>
      </w:r>
      <w:r>
        <w:rPr>
          <w:rFonts w:ascii="David" w:eastAsiaTheme="minorHAnsi" w:hAnsi="David"/>
          <w:b/>
          <w:bCs/>
          <w:noProof w:val="0"/>
        </w:rPr>
        <w:t xml:space="preserve"> </w:t>
      </w:r>
      <w:r>
        <w:rPr>
          <w:rFonts w:ascii="David" w:eastAsiaTheme="minorHAnsi" w:hAnsi="David"/>
          <w:b/>
          <w:bCs/>
          <w:noProof w:val="0"/>
          <w:rtl/>
        </w:rPr>
        <w:t>יהיה</w:t>
      </w:r>
      <w:r>
        <w:rPr>
          <w:rFonts w:ascii="David" w:eastAsiaTheme="minorHAnsi" w:hAnsi="David"/>
          <w:b/>
          <w:bCs/>
          <w:noProof w:val="0"/>
        </w:rPr>
        <w:t xml:space="preserve"> </w:t>
      </w:r>
      <w:r>
        <w:rPr>
          <w:rFonts w:ascii="David" w:eastAsiaTheme="minorHAnsi" w:hAnsi="David"/>
          <w:b/>
          <w:bCs/>
          <w:noProof w:val="0"/>
          <w:rtl/>
        </w:rPr>
        <w:t>מטפל,</w:t>
      </w:r>
      <w:r>
        <w:rPr>
          <w:rFonts w:ascii="David" w:eastAsiaTheme="minorHAnsi" w:hAnsi="David"/>
          <w:b/>
          <w:bCs/>
          <w:noProof w:val="0"/>
        </w:rPr>
        <w:t xml:space="preserve"> </w:t>
      </w:r>
      <w:r>
        <w:rPr>
          <w:rFonts w:ascii="David" w:eastAsiaTheme="minorHAnsi" w:hAnsi="David"/>
          <w:b/>
          <w:bCs/>
          <w:noProof w:val="0"/>
          <w:rtl/>
        </w:rPr>
        <w:t>אם</w:t>
      </w:r>
      <w:r>
        <w:rPr>
          <w:rFonts w:ascii="David" w:eastAsiaTheme="minorHAnsi" w:hAnsi="David"/>
          <w:b/>
          <w:bCs/>
          <w:noProof w:val="0"/>
        </w:rPr>
        <w:t xml:space="preserve"> </w:t>
      </w:r>
      <w:r>
        <w:rPr>
          <w:rFonts w:ascii="David" w:eastAsiaTheme="minorHAnsi" w:hAnsi="David"/>
          <w:b/>
          <w:bCs/>
          <w:noProof w:val="0"/>
          <w:rtl/>
        </w:rPr>
        <w:t>אני</w:t>
      </w:r>
      <w:r>
        <w:rPr>
          <w:rFonts w:ascii="David" w:eastAsiaTheme="minorHAnsi" w:hAnsi="David"/>
          <w:b/>
          <w:bCs/>
          <w:noProof w:val="0"/>
        </w:rPr>
        <w:t xml:space="preserve"> </w:t>
      </w:r>
      <w:r>
        <w:rPr>
          <w:rFonts w:ascii="David" w:eastAsiaTheme="minorHAnsi" w:hAnsi="David"/>
          <w:b/>
          <w:bCs/>
          <w:noProof w:val="0"/>
          <w:rtl/>
        </w:rPr>
        <w:t>יוצאת</w:t>
      </w:r>
      <w:r>
        <w:rPr>
          <w:rFonts w:ascii="David" w:eastAsiaTheme="minorHAnsi" w:hAnsi="David"/>
          <w:b/>
          <w:bCs/>
          <w:noProof w:val="0"/>
        </w:rPr>
        <w:t xml:space="preserve"> </w:t>
      </w:r>
      <w:r>
        <w:rPr>
          <w:rFonts w:ascii="David" w:eastAsiaTheme="minorHAnsi" w:hAnsi="David"/>
          <w:b/>
          <w:bCs/>
          <w:noProof w:val="0"/>
          <w:rtl/>
        </w:rPr>
        <w:t>מהבית</w:t>
      </w:r>
      <w:r>
        <w:rPr>
          <w:rFonts w:ascii="David" w:eastAsiaTheme="minorHAnsi" w:hAnsi="David"/>
          <w:b/>
          <w:bCs/>
          <w:noProof w:val="0"/>
        </w:rPr>
        <w:t xml:space="preserve"> </w:t>
      </w:r>
      <w:r>
        <w:rPr>
          <w:rFonts w:ascii="David" w:eastAsiaTheme="minorHAnsi" w:hAnsi="David"/>
          <w:b/>
          <w:bCs/>
          <w:noProof w:val="0"/>
          <w:rtl/>
        </w:rPr>
        <w:t>כדי</w:t>
      </w:r>
      <w:r>
        <w:rPr>
          <w:rFonts w:ascii="David" w:eastAsiaTheme="minorHAnsi" w:hAnsi="David"/>
          <w:b/>
          <w:bCs/>
          <w:noProof w:val="0"/>
        </w:rPr>
        <w:t xml:space="preserve"> </w:t>
      </w:r>
      <w:r>
        <w:rPr>
          <w:rFonts w:ascii="David" w:eastAsiaTheme="minorHAnsi" w:hAnsi="David"/>
          <w:b/>
          <w:bCs/>
          <w:noProof w:val="0"/>
          <w:rtl/>
        </w:rPr>
        <w:t>לראות</w:t>
      </w:r>
      <w:r>
        <w:rPr>
          <w:rFonts w:ascii="David" w:eastAsiaTheme="minorHAnsi" w:hAnsi="David"/>
          <w:b/>
          <w:bCs/>
          <w:noProof w:val="0"/>
        </w:rPr>
        <w:t xml:space="preserve"> </w:t>
      </w:r>
      <w:r>
        <w:rPr>
          <w:rFonts w:ascii="David" w:eastAsiaTheme="minorHAnsi" w:hAnsi="David"/>
          <w:b/>
          <w:bCs/>
          <w:noProof w:val="0"/>
          <w:rtl/>
        </w:rPr>
        <w:t>שעם</w:t>
      </w:r>
      <w:r w:rsidR="000A1F4B">
        <w:rPr>
          <w:rFonts w:ascii="David" w:eastAsiaTheme="minorHAnsi" w:hAnsi="David" w:hint="cs"/>
          <w:b/>
          <w:bCs/>
          <w:noProof w:val="0"/>
          <w:rtl/>
        </w:rPr>
        <w:t xml:space="preserve"> [המנוח]</w:t>
      </w:r>
      <w:r>
        <w:rPr>
          <w:rFonts w:ascii="David" w:eastAsiaTheme="minorHAnsi" w:hAnsi="David"/>
          <w:b/>
          <w:bCs/>
          <w:noProof w:val="0"/>
          <w:rtl/>
        </w:rPr>
        <w:t xml:space="preserve"> הכל בסדר והכל, אפילו שאני הייתי, </w:t>
      </w:r>
      <w:r w:rsidR="00A01D95">
        <w:rPr>
          <w:rFonts w:ascii="David" w:eastAsiaTheme="minorHAnsi" w:hAnsi="David" w:hint="cs"/>
          <w:b/>
          <w:bCs/>
          <w:noProof w:val="0"/>
          <w:rtl/>
        </w:rPr>
        <w:t>[חברה של האשה</w:t>
      </w:r>
      <w:r w:rsidR="000A1F4B">
        <w:rPr>
          <w:rFonts w:ascii="David" w:eastAsiaTheme="minorHAnsi" w:hAnsi="David" w:hint="cs"/>
          <w:b/>
          <w:bCs/>
          <w:noProof w:val="0"/>
          <w:rtl/>
        </w:rPr>
        <w:t>]</w:t>
      </w:r>
      <w:r>
        <w:rPr>
          <w:rFonts w:ascii="David" w:eastAsiaTheme="minorHAnsi" w:hAnsi="David"/>
          <w:b/>
          <w:bCs/>
          <w:noProof w:val="0"/>
          <w:rtl/>
        </w:rPr>
        <w:t xml:space="preserve"> הייתה בבית במקומי אם אני הייתי יוצאת וזה. אני תמיד הייתי רואה אותו במצלמה שאיתו הכל בסדר. זה הכל</w:t>
      </w:r>
      <w:r>
        <w:rPr>
          <w:rFonts w:ascii="David" w:hAnsi="David"/>
          <w:rtl/>
        </w:rPr>
        <w:t>" (שם, עמ' 92</w:t>
      </w:r>
      <w:r w:rsidR="00C15857">
        <w:rPr>
          <w:rFonts w:ascii="David" w:hAnsi="David" w:hint="cs"/>
          <w:rtl/>
        </w:rPr>
        <w:t>,</w:t>
      </w:r>
      <w:r>
        <w:rPr>
          <w:rFonts w:ascii="David" w:hAnsi="David"/>
          <w:rtl/>
        </w:rPr>
        <w:t xml:space="preserve"> ש' 32 – עמ' 93</w:t>
      </w:r>
      <w:r w:rsidR="00C15857">
        <w:rPr>
          <w:rFonts w:ascii="David" w:hAnsi="David" w:hint="cs"/>
          <w:rtl/>
        </w:rPr>
        <w:t>,</w:t>
      </w:r>
      <w:r>
        <w:rPr>
          <w:rFonts w:ascii="David" w:hAnsi="David"/>
          <w:rtl/>
        </w:rPr>
        <w:t xml:space="preserve"> ש' 4).</w:t>
      </w:r>
    </w:p>
    <w:p w:rsidR="00C15857" w:rsidRPr="00C15857" w:rsidRDefault="00C15857" w:rsidP="00C15857">
      <w:pPr>
        <w:pStyle w:val="ad"/>
        <w:bidi/>
        <w:spacing w:line="360" w:lineRule="auto"/>
        <w:ind w:left="1080"/>
        <w:contextualSpacing w:val="0"/>
        <w:jc w:val="both"/>
        <w:rPr>
          <w:rFonts w:ascii="David" w:hAnsi="David"/>
          <w:sz w:val="16"/>
          <w:szCs w:val="16"/>
          <w:rtl/>
        </w:rPr>
      </w:pPr>
    </w:p>
    <w:p w:rsidR="00631D0D" w:rsidRDefault="00631D0D" w:rsidP="00D340D1">
      <w:pPr>
        <w:pStyle w:val="ad"/>
        <w:bidi/>
        <w:spacing w:line="360" w:lineRule="auto"/>
        <w:ind w:left="1077"/>
        <w:contextualSpacing w:val="0"/>
        <w:jc w:val="both"/>
        <w:rPr>
          <w:rFonts w:ascii="David" w:hAnsi="David"/>
          <w:rtl/>
        </w:rPr>
      </w:pPr>
      <w:r>
        <w:rPr>
          <w:rFonts w:ascii="David" w:hAnsi="David"/>
          <w:rtl/>
        </w:rPr>
        <w:t xml:space="preserve">יחד עם זאת, התרשמתי ממכלול העדויות שהובאו בפניי כי המנוח נותר בכושרו הקוגניטיבי, הבין את הסובב אותו והיה מודע לפעולותיו ומשמעותיהן. לא הוכח כי המנוח לא שמר על עצמאותו השכלית-הכרתית, חרף היזקקותו לסיוע פיזי מצד האשה. </w:t>
      </w:r>
    </w:p>
    <w:p w:rsidR="00C15857" w:rsidRPr="00C15857" w:rsidRDefault="00C15857" w:rsidP="00C15857">
      <w:pPr>
        <w:pStyle w:val="ad"/>
        <w:bidi/>
        <w:spacing w:line="360" w:lineRule="auto"/>
        <w:ind w:left="1077"/>
        <w:contextualSpacing w:val="0"/>
        <w:jc w:val="both"/>
        <w:rPr>
          <w:rFonts w:ascii="David" w:hAnsi="David"/>
          <w:sz w:val="16"/>
          <w:szCs w:val="16"/>
          <w:u w:val="single"/>
          <w:rtl/>
        </w:rPr>
      </w:pPr>
    </w:p>
    <w:p w:rsidR="00631D0D" w:rsidRDefault="00631D0D" w:rsidP="00C15857">
      <w:pPr>
        <w:pStyle w:val="ad"/>
        <w:numPr>
          <w:ilvl w:val="0"/>
          <w:numId w:val="8"/>
        </w:numPr>
        <w:bidi/>
        <w:spacing w:line="360" w:lineRule="auto"/>
        <w:contextualSpacing w:val="0"/>
        <w:jc w:val="both"/>
        <w:rPr>
          <w:rFonts w:ascii="David" w:hAnsi="David"/>
        </w:rPr>
      </w:pPr>
      <w:r>
        <w:rPr>
          <w:rFonts w:ascii="David" w:hAnsi="David"/>
          <w:u w:val="single"/>
          <w:rtl/>
        </w:rPr>
        <w:t>מבחן הסיוע</w:t>
      </w:r>
      <w:r>
        <w:rPr>
          <w:rFonts w:ascii="David" w:hAnsi="David"/>
          <w:rtl/>
        </w:rPr>
        <w:t xml:space="preserve"> - כפי שהובא תחת מבחן העצמאות לעיל, האשה העידה לכך שסייעה למנוח בהיקף משמעותי. יחד עם זאת, חשיבות מיוחדת תינתן, כאמור, </w:t>
      </w:r>
      <w:r w:rsidR="00C15857">
        <w:rPr>
          <w:rFonts w:ascii="David" w:hAnsi="David" w:hint="cs"/>
          <w:rtl/>
        </w:rPr>
        <w:t>'</w:t>
      </w:r>
      <w:r>
        <w:rPr>
          <w:rFonts w:ascii="David" w:hAnsi="David"/>
          <w:rtl/>
        </w:rPr>
        <w:t>לפיזור</w:t>
      </w:r>
      <w:r w:rsidR="00C15857">
        <w:rPr>
          <w:rFonts w:ascii="David" w:hAnsi="David" w:hint="cs"/>
          <w:rtl/>
        </w:rPr>
        <w:t>'</w:t>
      </w:r>
      <w:r>
        <w:rPr>
          <w:rFonts w:ascii="David" w:hAnsi="David"/>
          <w:rtl/>
        </w:rPr>
        <w:t xml:space="preserve"> הסתייעות המצווה על פני מספר גורמים כממצא המפחית את החשש לתלות בנהנה. בענייננו, נטען על ידי הילדים עצמם כי סייעו רבות לאביהם המנוח. כך לדוגמה: "</w:t>
      </w:r>
      <w:r>
        <w:rPr>
          <w:rFonts w:ascii="David" w:hAnsi="David"/>
          <w:b/>
          <w:bCs/>
          <w:rtl/>
        </w:rPr>
        <w:t>הילדים הם אלה אשר היו עם המנוח אביהם בכל שעה ובכל טיפול</w:t>
      </w:r>
      <w:r>
        <w:rPr>
          <w:rFonts w:ascii="David" w:hAnsi="David"/>
          <w:rtl/>
        </w:rPr>
        <w:t xml:space="preserve"> [...]" (ר' ס' 4 לסיכומי התשובה מטעם </w:t>
      </w:r>
      <w:r w:rsidR="00534802">
        <w:rPr>
          <w:rFonts w:ascii="David" w:hAnsi="David" w:hint="cs"/>
          <w:rtl/>
        </w:rPr>
        <w:t>הילדי</w:t>
      </w:r>
      <w:r>
        <w:rPr>
          <w:rFonts w:ascii="David" w:hAnsi="David"/>
          <w:rtl/>
        </w:rPr>
        <w:t>ם).</w:t>
      </w:r>
    </w:p>
    <w:p w:rsidR="00C15857" w:rsidRPr="00C15857" w:rsidRDefault="00C15857" w:rsidP="00C15857">
      <w:pPr>
        <w:pStyle w:val="ad"/>
        <w:bidi/>
        <w:spacing w:line="360" w:lineRule="auto"/>
        <w:ind w:left="1080"/>
        <w:contextualSpacing w:val="0"/>
        <w:jc w:val="both"/>
        <w:rPr>
          <w:rFonts w:ascii="David" w:hAnsi="David"/>
          <w:sz w:val="16"/>
          <w:szCs w:val="16"/>
        </w:rPr>
      </w:pPr>
    </w:p>
    <w:p w:rsidR="00631D0D" w:rsidRDefault="00631D0D" w:rsidP="000A1F4B">
      <w:pPr>
        <w:pStyle w:val="ad"/>
        <w:bidi/>
        <w:spacing w:line="360" w:lineRule="auto"/>
        <w:ind w:left="1080"/>
        <w:contextualSpacing w:val="0"/>
        <w:jc w:val="both"/>
        <w:rPr>
          <w:rFonts w:ascii="David" w:hAnsi="David"/>
          <w:rtl/>
        </w:rPr>
      </w:pPr>
      <w:r>
        <w:rPr>
          <w:rFonts w:ascii="David" w:hAnsi="David"/>
          <w:rtl/>
        </w:rPr>
        <w:t>זאת ועוד, הובאו עדויות להסתייעות המנוח באחיו, כך למשל עלה בחקירתה של האשה: "</w:t>
      </w:r>
      <w:r>
        <w:rPr>
          <w:rFonts w:ascii="David" w:hAnsi="David"/>
          <w:b/>
          <w:bCs/>
          <w:rtl/>
        </w:rPr>
        <w:t>והוא היה</w:t>
      </w:r>
      <w:r>
        <w:rPr>
          <w:rFonts w:ascii="David" w:eastAsiaTheme="minorHAnsi" w:hAnsi="David"/>
          <w:noProof w:val="0"/>
        </w:rPr>
        <w:t xml:space="preserve"> </w:t>
      </w:r>
      <w:r>
        <w:rPr>
          <w:rFonts w:ascii="David" w:eastAsiaTheme="minorHAnsi" w:hAnsi="David"/>
          <w:b/>
          <w:bCs/>
          <w:noProof w:val="0"/>
          <w:rtl/>
        </w:rPr>
        <w:t>פונה</w:t>
      </w:r>
      <w:r>
        <w:rPr>
          <w:rFonts w:ascii="David" w:eastAsiaTheme="minorHAnsi" w:hAnsi="David"/>
          <w:b/>
          <w:bCs/>
          <w:noProof w:val="0"/>
        </w:rPr>
        <w:t xml:space="preserve"> </w:t>
      </w:r>
      <w:r>
        <w:rPr>
          <w:rFonts w:ascii="David" w:eastAsiaTheme="minorHAnsi" w:hAnsi="David"/>
          <w:b/>
          <w:bCs/>
          <w:noProof w:val="0"/>
          <w:rtl/>
        </w:rPr>
        <w:t>לרופא, ובודקים</w:t>
      </w:r>
      <w:r>
        <w:rPr>
          <w:rFonts w:ascii="David" w:eastAsiaTheme="minorHAnsi" w:hAnsi="David"/>
          <w:b/>
          <w:bCs/>
          <w:noProof w:val="0"/>
        </w:rPr>
        <w:t xml:space="preserve"> </w:t>
      </w:r>
      <w:r>
        <w:rPr>
          <w:rFonts w:ascii="David" w:eastAsiaTheme="minorHAnsi" w:hAnsi="David"/>
          <w:b/>
          <w:bCs/>
          <w:noProof w:val="0"/>
          <w:rtl/>
        </w:rPr>
        <w:t>אותו.</w:t>
      </w:r>
      <w:r>
        <w:rPr>
          <w:rFonts w:ascii="David" w:eastAsiaTheme="minorHAnsi" w:hAnsi="David"/>
          <w:b/>
          <w:bCs/>
          <w:noProof w:val="0"/>
        </w:rPr>
        <w:t xml:space="preserve"> </w:t>
      </w:r>
      <w:r>
        <w:rPr>
          <w:rFonts w:ascii="David" w:eastAsiaTheme="minorHAnsi" w:hAnsi="David"/>
          <w:b/>
          <w:bCs/>
          <w:noProof w:val="0"/>
          <w:rtl/>
        </w:rPr>
        <w:t>וכשאני</w:t>
      </w:r>
      <w:r>
        <w:rPr>
          <w:rFonts w:ascii="David" w:eastAsiaTheme="minorHAnsi" w:hAnsi="David"/>
          <w:b/>
          <w:bCs/>
          <w:noProof w:val="0"/>
        </w:rPr>
        <w:t xml:space="preserve"> </w:t>
      </w:r>
      <w:r>
        <w:rPr>
          <w:rFonts w:ascii="David" w:eastAsiaTheme="minorHAnsi" w:hAnsi="David"/>
          <w:b/>
          <w:bCs/>
          <w:noProof w:val="0"/>
          <w:rtl/>
        </w:rPr>
        <w:t>אמרתי</w:t>
      </w:r>
      <w:r>
        <w:rPr>
          <w:rFonts w:ascii="David" w:eastAsiaTheme="minorHAnsi" w:hAnsi="David"/>
          <w:b/>
          <w:bCs/>
          <w:noProof w:val="0"/>
        </w:rPr>
        <w:t xml:space="preserve"> </w:t>
      </w:r>
      <w:r w:rsidR="000A1F4B">
        <w:rPr>
          <w:rFonts w:ascii="David" w:eastAsiaTheme="minorHAnsi" w:hAnsi="David" w:hint="cs"/>
          <w:b/>
          <w:bCs/>
          <w:noProof w:val="0"/>
          <w:rtl/>
        </w:rPr>
        <w:t>[המנוח]</w:t>
      </w:r>
      <w:r>
        <w:rPr>
          <w:rFonts w:ascii="David" w:eastAsiaTheme="minorHAnsi" w:hAnsi="David"/>
          <w:b/>
          <w:bCs/>
          <w:noProof w:val="0"/>
          <w:rtl/>
        </w:rPr>
        <w:t>, אתה</w:t>
      </w:r>
      <w:r>
        <w:rPr>
          <w:rFonts w:ascii="David" w:eastAsiaTheme="minorHAnsi" w:hAnsi="David"/>
          <w:b/>
          <w:bCs/>
          <w:noProof w:val="0"/>
        </w:rPr>
        <w:t xml:space="preserve"> </w:t>
      </w:r>
      <w:r>
        <w:rPr>
          <w:rFonts w:ascii="David" w:eastAsiaTheme="minorHAnsi" w:hAnsi="David"/>
          <w:b/>
          <w:bCs/>
          <w:noProof w:val="0"/>
          <w:rtl/>
        </w:rPr>
        <w:t>רוצה</w:t>
      </w:r>
      <w:r>
        <w:rPr>
          <w:rFonts w:ascii="David" w:eastAsiaTheme="minorHAnsi" w:hAnsi="David"/>
          <w:b/>
          <w:bCs/>
          <w:noProof w:val="0"/>
        </w:rPr>
        <w:t xml:space="preserve"> </w:t>
      </w:r>
      <w:r>
        <w:rPr>
          <w:rFonts w:ascii="David" w:eastAsiaTheme="minorHAnsi" w:hAnsi="David"/>
          <w:b/>
          <w:bCs/>
          <w:noProof w:val="0"/>
          <w:rtl/>
        </w:rPr>
        <w:t xml:space="preserve">שאני, לא, לא, אני עם </w:t>
      </w:r>
      <w:r>
        <w:rPr>
          <w:rFonts w:ascii="David" w:eastAsiaTheme="minorHAnsi" w:hAnsi="David"/>
          <w:noProof w:val="0"/>
          <w:rtl/>
        </w:rPr>
        <w:t>[אחות המנוח – י' ש']</w:t>
      </w:r>
      <w:r>
        <w:rPr>
          <w:rFonts w:ascii="David" w:eastAsiaTheme="minorHAnsi" w:hAnsi="David"/>
          <w:b/>
          <w:bCs/>
          <w:noProof w:val="0"/>
          <w:rtl/>
        </w:rPr>
        <w:t xml:space="preserve"> אני אלך. זו תמיד הייתה התשובה. לא, </w:t>
      </w:r>
      <w:r w:rsidR="000A1F4B">
        <w:rPr>
          <w:rFonts w:ascii="David" w:eastAsiaTheme="minorHAnsi" w:hAnsi="David" w:hint="cs"/>
          <w:b/>
          <w:bCs/>
          <w:noProof w:val="0"/>
          <w:rtl/>
        </w:rPr>
        <w:t xml:space="preserve">[אחות המנוח] </w:t>
      </w:r>
      <w:r>
        <w:rPr>
          <w:rFonts w:ascii="David" w:eastAsiaTheme="minorHAnsi" w:hAnsi="David"/>
          <w:b/>
          <w:bCs/>
          <w:noProof w:val="0"/>
          <w:rtl/>
        </w:rPr>
        <w:t xml:space="preserve">יודעת יותר טוב. אני אלך עם </w:t>
      </w:r>
      <w:r w:rsidR="000A1F4B">
        <w:rPr>
          <w:rFonts w:ascii="David" w:eastAsiaTheme="minorHAnsi" w:hAnsi="David" w:hint="cs"/>
          <w:b/>
          <w:bCs/>
          <w:noProof w:val="0"/>
          <w:rtl/>
        </w:rPr>
        <w:t>[אחות המנוח]</w:t>
      </w:r>
      <w:r>
        <w:rPr>
          <w:rFonts w:ascii="David" w:eastAsiaTheme="minorHAnsi" w:hAnsi="David"/>
          <w:b/>
          <w:bCs/>
          <w:noProof w:val="0"/>
          <w:rtl/>
        </w:rPr>
        <w:t>. זו הייתה התשובה</w:t>
      </w:r>
      <w:r>
        <w:rPr>
          <w:rFonts w:ascii="David" w:eastAsiaTheme="minorHAnsi" w:hAnsi="David"/>
          <w:noProof w:val="0"/>
          <w:rtl/>
        </w:rPr>
        <w:t>" (ר' פרוטוקול מיום 4.7.2022 עמ' 56 ש' 3-1).</w:t>
      </w:r>
    </w:p>
    <w:p w:rsidR="007B516F" w:rsidRPr="007B516F" w:rsidRDefault="007B516F" w:rsidP="007B516F">
      <w:pPr>
        <w:bidi/>
        <w:spacing w:line="360" w:lineRule="auto"/>
        <w:jc w:val="both"/>
        <w:rPr>
          <w:rFonts w:ascii="David" w:hAnsi="David"/>
          <w:sz w:val="16"/>
          <w:szCs w:val="16"/>
          <w:rtl/>
        </w:rPr>
      </w:pPr>
    </w:p>
    <w:p w:rsidR="00631D0D" w:rsidRDefault="00631D0D" w:rsidP="007B516F">
      <w:pPr>
        <w:pStyle w:val="ad"/>
        <w:bidi/>
        <w:spacing w:line="360" w:lineRule="auto"/>
        <w:ind w:left="1077"/>
        <w:contextualSpacing w:val="0"/>
        <w:jc w:val="both"/>
        <w:rPr>
          <w:rFonts w:ascii="David" w:hAnsi="David"/>
          <w:rtl/>
        </w:rPr>
      </w:pPr>
      <w:r>
        <w:rPr>
          <w:rFonts w:ascii="David" w:hAnsi="David"/>
          <w:rtl/>
        </w:rPr>
        <w:t xml:space="preserve">מכאן, שהסתייעות המנוח גם בילדיו ובאחיו מפיגה במידה לא מבוטלת את החשש להיותו תלוי לחלוטין באשה. </w:t>
      </w:r>
      <w:r w:rsidR="007B516F">
        <w:rPr>
          <w:rFonts w:ascii="David" w:hAnsi="David" w:hint="cs"/>
          <w:rtl/>
        </w:rPr>
        <w:t xml:space="preserve">אם </w:t>
      </w:r>
      <w:r>
        <w:rPr>
          <w:rFonts w:ascii="David" w:hAnsi="David"/>
          <w:rtl/>
        </w:rPr>
        <w:t xml:space="preserve">לא די בכך, </w:t>
      </w:r>
      <w:r w:rsidR="007B516F">
        <w:rPr>
          <w:rFonts w:ascii="David" w:hAnsi="David" w:hint="cs"/>
          <w:rtl/>
        </w:rPr>
        <w:t xml:space="preserve">הילדים אף </w:t>
      </w:r>
      <w:r>
        <w:rPr>
          <w:rFonts w:ascii="David" w:hAnsi="David"/>
          <w:rtl/>
        </w:rPr>
        <w:t>טענו לריחוק בין המנוח לבין האשה: "</w:t>
      </w:r>
      <w:r>
        <w:rPr>
          <w:rFonts w:ascii="David" w:hAnsi="David"/>
          <w:b/>
          <w:bCs/>
          <w:rtl/>
        </w:rPr>
        <w:t>נחשף כי לא התגוררה עם האיש כשנתיים ימים בחדר והלכה למעשה חל ביניהם ריחוק אמיתי</w:t>
      </w:r>
      <w:r w:rsidR="007B516F">
        <w:rPr>
          <w:rFonts w:ascii="David" w:hAnsi="David" w:hint="cs"/>
          <w:b/>
          <w:bCs/>
          <w:rtl/>
        </w:rPr>
        <w:t>..</w:t>
      </w:r>
      <w:r>
        <w:rPr>
          <w:rFonts w:ascii="David" w:hAnsi="David"/>
          <w:b/>
          <w:bCs/>
          <w:rtl/>
        </w:rPr>
        <w:t>.</w:t>
      </w:r>
      <w:r>
        <w:rPr>
          <w:rFonts w:ascii="David" w:hAnsi="David"/>
          <w:rtl/>
        </w:rPr>
        <w:t>" (ר' ס' 37 לסיכומי תשובה מטעם הילדים).</w:t>
      </w:r>
    </w:p>
    <w:p w:rsidR="007B516F" w:rsidRDefault="007B516F" w:rsidP="007B516F">
      <w:pPr>
        <w:pStyle w:val="ad"/>
        <w:bidi/>
        <w:spacing w:line="360" w:lineRule="auto"/>
        <w:ind w:left="1077"/>
        <w:contextualSpacing w:val="0"/>
        <w:jc w:val="both"/>
        <w:rPr>
          <w:rFonts w:ascii="David" w:hAnsi="David"/>
          <w:sz w:val="16"/>
          <w:szCs w:val="16"/>
          <w:rtl/>
        </w:rPr>
      </w:pPr>
    </w:p>
    <w:p w:rsidR="007B516F" w:rsidRDefault="007B516F" w:rsidP="007B516F">
      <w:pPr>
        <w:pStyle w:val="ad"/>
        <w:bidi/>
        <w:spacing w:line="360" w:lineRule="auto"/>
        <w:ind w:left="1077"/>
        <w:contextualSpacing w:val="0"/>
        <w:jc w:val="both"/>
        <w:rPr>
          <w:rFonts w:ascii="David" w:hAnsi="David"/>
          <w:sz w:val="16"/>
          <w:szCs w:val="16"/>
          <w:rtl/>
        </w:rPr>
      </w:pPr>
    </w:p>
    <w:p w:rsidR="007B516F" w:rsidRDefault="007B516F" w:rsidP="007B516F">
      <w:pPr>
        <w:pStyle w:val="ad"/>
        <w:bidi/>
        <w:spacing w:line="360" w:lineRule="auto"/>
        <w:ind w:left="1077"/>
        <w:contextualSpacing w:val="0"/>
        <w:jc w:val="both"/>
        <w:rPr>
          <w:rFonts w:ascii="David" w:hAnsi="David"/>
          <w:sz w:val="16"/>
          <w:szCs w:val="16"/>
          <w:rtl/>
        </w:rPr>
      </w:pPr>
    </w:p>
    <w:p w:rsidR="007B516F" w:rsidRPr="007B516F" w:rsidRDefault="007B516F" w:rsidP="007B516F">
      <w:pPr>
        <w:pStyle w:val="ad"/>
        <w:bidi/>
        <w:spacing w:line="360" w:lineRule="auto"/>
        <w:ind w:left="1077"/>
        <w:contextualSpacing w:val="0"/>
        <w:jc w:val="both"/>
        <w:rPr>
          <w:rFonts w:ascii="David" w:hAnsi="David"/>
          <w:sz w:val="16"/>
          <w:szCs w:val="16"/>
          <w:rtl/>
        </w:rPr>
      </w:pPr>
    </w:p>
    <w:p w:rsidR="00631D0D" w:rsidRDefault="00631D0D" w:rsidP="000A1F4B">
      <w:pPr>
        <w:pStyle w:val="ad"/>
        <w:numPr>
          <w:ilvl w:val="0"/>
          <w:numId w:val="8"/>
        </w:numPr>
        <w:bidi/>
        <w:spacing w:line="360" w:lineRule="auto"/>
        <w:ind w:hanging="513"/>
        <w:contextualSpacing w:val="0"/>
        <w:jc w:val="both"/>
        <w:rPr>
          <w:rFonts w:ascii="David" w:hAnsi="David"/>
        </w:rPr>
      </w:pPr>
      <w:r>
        <w:rPr>
          <w:rFonts w:ascii="David" w:hAnsi="David"/>
          <w:u w:val="single"/>
          <w:rtl/>
        </w:rPr>
        <w:lastRenderedPageBreak/>
        <w:t>מבחן קשרי המצווה עם אחרים</w:t>
      </w:r>
      <w:r>
        <w:rPr>
          <w:rFonts w:ascii="David" w:hAnsi="David"/>
          <w:rtl/>
        </w:rPr>
        <w:t xml:space="preserve"> – כפי שהובא תחת מבחן הסיוע, המנוח עמד בקשר רציף עם ילדיו ועם אחיו, והם אף העידו על מפגשים עם המנוח ועל כך שהיו אלה הם שעמדו לצדו בשעותיו הקשות. לגופן של הטענות על נסיונות מצד האשה לנתק את המנוח מילדיו, אזכיר כי מבחן זה נדרש למידת ניתוק המנוח מאחרים </w:t>
      </w:r>
      <w:r>
        <w:rPr>
          <w:rFonts w:ascii="David" w:hAnsi="David"/>
          <w:u w:val="single"/>
          <w:rtl/>
        </w:rPr>
        <w:t>בפועל</w:t>
      </w:r>
      <w:r>
        <w:rPr>
          <w:rFonts w:ascii="David" w:hAnsi="David"/>
          <w:rtl/>
        </w:rPr>
        <w:t xml:space="preserve"> וללא משקל לנסיבותיו (ר' דנ"א מרום). נראה כי בענייננו לא התקיים ניתוק אובייקטיבי כאמור. כך לדוגמה, כפי שעולה מחקירתה של בתו של המנוח</w:t>
      </w:r>
      <w:r w:rsidR="000A1F4B">
        <w:rPr>
          <w:rFonts w:ascii="David" w:hAnsi="David" w:hint="cs"/>
          <w:rtl/>
        </w:rPr>
        <w:t xml:space="preserve"> (הנתבעת 3)</w:t>
      </w:r>
      <w:r>
        <w:rPr>
          <w:rFonts w:ascii="David" w:hAnsi="David"/>
          <w:rtl/>
        </w:rPr>
        <w:t xml:space="preserve">: </w:t>
      </w:r>
    </w:p>
    <w:p w:rsidR="007B516F" w:rsidRPr="000A1F4B" w:rsidRDefault="007B516F" w:rsidP="007B516F">
      <w:pPr>
        <w:pStyle w:val="ad"/>
        <w:bidi/>
        <w:spacing w:line="360" w:lineRule="auto"/>
        <w:ind w:left="1080"/>
        <w:contextualSpacing w:val="0"/>
        <w:jc w:val="both"/>
        <w:rPr>
          <w:rFonts w:ascii="David" w:hAnsi="David"/>
          <w:sz w:val="18"/>
          <w:szCs w:val="18"/>
          <w:rtl/>
        </w:rPr>
      </w:pPr>
    </w:p>
    <w:p w:rsidR="00631D0D" w:rsidRDefault="00631D0D" w:rsidP="007B516F">
      <w:pPr>
        <w:pStyle w:val="ad"/>
        <w:bidi/>
        <w:spacing w:line="360" w:lineRule="auto"/>
        <w:ind w:left="2160" w:hanging="1080"/>
        <w:contextualSpacing w:val="0"/>
        <w:jc w:val="both"/>
        <w:rPr>
          <w:rFonts w:ascii="David" w:hAnsi="David"/>
          <w:rtl/>
        </w:rPr>
      </w:pPr>
      <w:r>
        <w:rPr>
          <w:rFonts w:ascii="David" w:hAnsi="David"/>
          <w:rtl/>
        </w:rPr>
        <w:t>ש:</w:t>
      </w:r>
      <w:r>
        <w:rPr>
          <w:rFonts w:ascii="David" w:hAnsi="David"/>
          <w:rtl/>
        </w:rPr>
        <w:tab/>
      </w:r>
      <w:r w:rsidR="007B516F">
        <w:rPr>
          <w:rFonts w:ascii="David" w:hAnsi="David" w:hint="cs"/>
          <w:b/>
          <w:bCs/>
          <w:rtl/>
        </w:rPr>
        <w:t>...</w:t>
      </w:r>
      <w:r>
        <w:rPr>
          <w:rFonts w:ascii="David" w:hAnsi="David"/>
          <w:b/>
          <w:bCs/>
          <w:rtl/>
        </w:rPr>
        <w:t xml:space="preserve"> צייני לי מקרה אחד </w:t>
      </w:r>
      <w:r w:rsidR="007B516F" w:rsidRPr="007B516F">
        <w:rPr>
          <w:rFonts w:ascii="David" w:hAnsi="David" w:hint="cs"/>
          <w:rtl/>
        </w:rPr>
        <w:t xml:space="preserve">(ניסיון האשה להרחיק את המנוח מילדיו </w:t>
      </w:r>
      <w:r w:rsidR="007B516F" w:rsidRPr="007B516F">
        <w:rPr>
          <w:rFonts w:ascii="David" w:hAnsi="David"/>
          <w:rtl/>
        </w:rPr>
        <w:t>–</w:t>
      </w:r>
      <w:r w:rsidR="007B516F" w:rsidRPr="007B516F">
        <w:rPr>
          <w:rFonts w:ascii="David" w:hAnsi="David" w:hint="cs"/>
          <w:rtl/>
        </w:rPr>
        <w:t xml:space="preserve"> י' ש')</w:t>
      </w:r>
      <w:r w:rsidR="007B516F">
        <w:rPr>
          <w:rFonts w:ascii="David" w:hAnsi="David" w:hint="cs"/>
          <w:b/>
          <w:bCs/>
          <w:rtl/>
        </w:rPr>
        <w:t xml:space="preserve"> </w:t>
      </w:r>
      <w:r>
        <w:rPr>
          <w:rFonts w:ascii="David" w:hAnsi="David"/>
          <w:b/>
          <w:bCs/>
          <w:rtl/>
        </w:rPr>
        <w:t xml:space="preserve">חוץ מהמקרים האחרונים שהיו פה עכשיו </w:t>
      </w:r>
      <w:r>
        <w:rPr>
          <w:rFonts w:ascii="David" w:hAnsi="David"/>
          <w:rtl/>
        </w:rPr>
        <w:t>[...]</w:t>
      </w:r>
    </w:p>
    <w:p w:rsidR="00631D0D" w:rsidRDefault="00631D0D" w:rsidP="00D340D1">
      <w:pPr>
        <w:pStyle w:val="ad"/>
        <w:bidi/>
        <w:spacing w:line="360" w:lineRule="auto"/>
        <w:ind w:left="2160" w:hanging="1080"/>
        <w:contextualSpacing w:val="0"/>
        <w:jc w:val="both"/>
        <w:rPr>
          <w:rFonts w:ascii="David" w:hAnsi="David"/>
          <w:b/>
          <w:bCs/>
        </w:rPr>
      </w:pPr>
      <w:r>
        <w:rPr>
          <w:rFonts w:ascii="David" w:hAnsi="David"/>
          <w:rtl/>
        </w:rPr>
        <w:t>ת:</w:t>
      </w:r>
      <w:r>
        <w:rPr>
          <w:rFonts w:ascii="David" w:hAnsi="David"/>
          <w:rtl/>
        </w:rPr>
        <w:tab/>
      </w:r>
      <w:r>
        <w:rPr>
          <w:rFonts w:ascii="David" w:hAnsi="David"/>
          <w:b/>
          <w:bCs/>
          <w:rtl/>
        </w:rPr>
        <w:t xml:space="preserve">כל פעם שהיינו נפגשים, </w:t>
      </w:r>
      <w:r>
        <w:rPr>
          <w:rFonts w:ascii="David" w:hAnsi="David"/>
          <w:b/>
          <w:bCs/>
          <w:u w:val="single"/>
          <w:rtl/>
        </w:rPr>
        <w:t>והיינו נפגשים הרבה,</w:t>
      </w:r>
      <w:r>
        <w:rPr>
          <w:rFonts w:ascii="David" w:hAnsi="David"/>
          <w:b/>
          <w:bCs/>
          <w:rtl/>
        </w:rPr>
        <w:t xml:space="preserve"> והיא הייתה מתקשרת וצועקת עליו לחזור הביתה. לשאול אותו איפה הוא ולחזור הביתה כי הוא היה מגיע אליי בשעות שהיא לא הייתה.</w:t>
      </w:r>
    </w:p>
    <w:p w:rsidR="00631D0D" w:rsidRDefault="00631D0D" w:rsidP="00D340D1">
      <w:pPr>
        <w:pStyle w:val="ad"/>
        <w:bidi/>
        <w:spacing w:line="360" w:lineRule="auto"/>
        <w:ind w:left="1080"/>
        <w:contextualSpacing w:val="0"/>
        <w:jc w:val="both"/>
        <w:rPr>
          <w:rFonts w:ascii="David" w:hAnsi="David"/>
          <w:rtl/>
        </w:rPr>
      </w:pPr>
      <w:r>
        <w:rPr>
          <w:rFonts w:ascii="David" w:hAnsi="David"/>
          <w:rtl/>
        </w:rPr>
        <w:t>ש:</w:t>
      </w:r>
      <w:r>
        <w:rPr>
          <w:rFonts w:ascii="David" w:hAnsi="David"/>
          <w:rtl/>
        </w:rPr>
        <w:tab/>
      </w:r>
      <w:r>
        <w:rPr>
          <w:rFonts w:ascii="David" w:hAnsi="David"/>
          <w:rtl/>
        </w:rPr>
        <w:tab/>
      </w:r>
      <w:r>
        <w:rPr>
          <w:rFonts w:ascii="David" w:hAnsi="David"/>
          <w:b/>
          <w:bCs/>
          <w:rtl/>
        </w:rPr>
        <w:t>אבל הייתה לכם מערכת יחסים בין אב לבת כל הזמן</w:t>
      </w:r>
      <w:r>
        <w:rPr>
          <w:rFonts w:ascii="David" w:hAnsi="David"/>
          <w:rtl/>
        </w:rPr>
        <w:t>.</w:t>
      </w:r>
    </w:p>
    <w:p w:rsidR="00631D0D" w:rsidRDefault="00631D0D" w:rsidP="007B516F">
      <w:pPr>
        <w:pStyle w:val="ad"/>
        <w:bidi/>
        <w:spacing w:line="360" w:lineRule="auto"/>
        <w:ind w:left="2160" w:hanging="1080"/>
        <w:contextualSpacing w:val="0"/>
        <w:jc w:val="both"/>
        <w:rPr>
          <w:rFonts w:ascii="David" w:hAnsi="David"/>
          <w:rtl/>
        </w:rPr>
      </w:pPr>
      <w:r>
        <w:rPr>
          <w:rFonts w:ascii="David" w:hAnsi="David"/>
          <w:rtl/>
        </w:rPr>
        <w:t>ת:</w:t>
      </w:r>
      <w:r>
        <w:rPr>
          <w:rFonts w:ascii="David" w:hAnsi="David"/>
          <w:rtl/>
        </w:rPr>
        <w:tab/>
      </w:r>
      <w:r w:rsidRPr="007B516F">
        <w:rPr>
          <w:rFonts w:ascii="David" w:hAnsi="David"/>
          <w:b/>
          <w:bCs/>
          <w:u w:val="single"/>
          <w:rtl/>
        </w:rPr>
        <w:t>אדוקה מאוד</w:t>
      </w:r>
      <w:r>
        <w:rPr>
          <w:rFonts w:ascii="David" w:hAnsi="David"/>
          <w:rtl/>
        </w:rPr>
        <w:t>"</w:t>
      </w:r>
      <w:r w:rsidR="007B516F">
        <w:rPr>
          <w:rFonts w:ascii="David" w:hAnsi="David" w:hint="cs"/>
          <w:rtl/>
        </w:rPr>
        <w:t xml:space="preserve"> </w:t>
      </w:r>
      <w:r w:rsidRPr="007B516F">
        <w:rPr>
          <w:rFonts w:ascii="David" w:hAnsi="David"/>
          <w:rtl/>
        </w:rPr>
        <w:t>(ר' פרוטוקול מיום 4.7.2022, עמ' 16 ש' 29 – עמ' 17 ש' 4, הדגש</w:t>
      </w:r>
      <w:r w:rsidR="007B516F">
        <w:rPr>
          <w:rFonts w:ascii="David" w:hAnsi="David" w:hint="cs"/>
          <w:rtl/>
        </w:rPr>
        <w:t>ות</w:t>
      </w:r>
      <w:r w:rsidRPr="007B516F">
        <w:rPr>
          <w:rFonts w:ascii="David" w:hAnsi="David"/>
          <w:rtl/>
        </w:rPr>
        <w:t xml:space="preserve"> לא במקור).</w:t>
      </w:r>
    </w:p>
    <w:p w:rsidR="007B516F" w:rsidRPr="007B516F" w:rsidRDefault="007B516F" w:rsidP="007B516F">
      <w:pPr>
        <w:pStyle w:val="ad"/>
        <w:bidi/>
        <w:spacing w:line="360" w:lineRule="auto"/>
        <w:ind w:left="2160" w:hanging="1080"/>
        <w:contextualSpacing w:val="0"/>
        <w:jc w:val="both"/>
        <w:rPr>
          <w:rFonts w:ascii="David" w:hAnsi="David"/>
          <w:sz w:val="16"/>
          <w:szCs w:val="16"/>
          <w:rtl/>
        </w:rPr>
      </w:pPr>
    </w:p>
    <w:p w:rsidR="00631D0D" w:rsidRDefault="00631D0D" w:rsidP="000A1F4B">
      <w:pPr>
        <w:pStyle w:val="ad"/>
        <w:bidi/>
        <w:spacing w:line="360" w:lineRule="auto"/>
        <w:ind w:left="1077"/>
        <w:contextualSpacing w:val="0"/>
        <w:jc w:val="both"/>
        <w:rPr>
          <w:rFonts w:ascii="David" w:hAnsi="David"/>
          <w:rtl/>
        </w:rPr>
      </w:pPr>
      <w:r>
        <w:rPr>
          <w:rFonts w:ascii="David" w:hAnsi="David"/>
          <w:rtl/>
        </w:rPr>
        <w:t xml:space="preserve">בנוסף, כפי שעולה מחקירת </w:t>
      </w:r>
      <w:r w:rsidR="007B516F">
        <w:rPr>
          <w:rFonts w:ascii="David" w:hAnsi="David" w:hint="cs"/>
          <w:rtl/>
        </w:rPr>
        <w:t xml:space="preserve">עד מטעם הילדים, </w:t>
      </w:r>
      <w:r>
        <w:rPr>
          <w:rFonts w:ascii="David" w:hAnsi="David"/>
          <w:rtl/>
        </w:rPr>
        <w:t>מר</w:t>
      </w:r>
      <w:r w:rsidR="000A1F4B">
        <w:rPr>
          <w:rFonts w:ascii="David" w:hAnsi="David" w:hint="cs"/>
          <w:rtl/>
        </w:rPr>
        <w:t>...</w:t>
      </w:r>
      <w:r>
        <w:rPr>
          <w:rFonts w:ascii="David" w:hAnsi="David"/>
          <w:rtl/>
        </w:rPr>
        <w:t xml:space="preserve"> </w:t>
      </w:r>
      <w:r w:rsidR="001C5F70">
        <w:rPr>
          <w:rFonts w:ascii="David" w:hAnsi="David" w:hint="cs"/>
          <w:rtl/>
        </w:rPr>
        <w:t>(אחיו של המנוח)</w:t>
      </w:r>
      <w:r>
        <w:rPr>
          <w:rFonts w:ascii="David" w:hAnsi="David"/>
          <w:rtl/>
        </w:rPr>
        <w:t xml:space="preserve">: "[...] </w:t>
      </w:r>
      <w:r>
        <w:rPr>
          <w:rFonts w:ascii="David" w:hAnsi="David"/>
          <w:b/>
          <w:bCs/>
          <w:rtl/>
        </w:rPr>
        <w:t>זה היה בביקור שהוצאנו אותו מהבית למפגש משפחתי. ארגנו את כל המשפחה בפארק בגלל שלהגיע אליו הביתה, היא לא יכלה להגיע המשפחה. היא</w:t>
      </w:r>
      <w:r>
        <w:rPr>
          <w:rFonts w:ascii="David" w:hAnsi="David"/>
          <w:rtl/>
        </w:rPr>
        <w:t xml:space="preserve"> [האשה – י' ש'] </w:t>
      </w:r>
      <w:r>
        <w:rPr>
          <w:rFonts w:ascii="David" w:hAnsi="David"/>
          <w:b/>
          <w:bCs/>
          <w:rtl/>
        </w:rPr>
        <w:t>לא אפשרה להם להגיע. אז ארגנו את המפגש בפארק, הוצאנו אותו עם עגלה וטיילנו איתו בשבילים של הפארק</w:t>
      </w:r>
      <w:r>
        <w:rPr>
          <w:rFonts w:ascii="David" w:hAnsi="David"/>
          <w:rtl/>
        </w:rPr>
        <w:t xml:space="preserve"> [...] </w:t>
      </w:r>
      <w:r>
        <w:rPr>
          <w:rFonts w:ascii="David" w:hAnsi="David"/>
          <w:b/>
          <w:bCs/>
          <w:rtl/>
        </w:rPr>
        <w:t>ואז הוא ראה את כל המשפחה המורחבת, כבר כולל הילדים שלו, הנכדים שלו</w:t>
      </w:r>
      <w:r>
        <w:rPr>
          <w:rFonts w:ascii="David" w:hAnsi="David"/>
          <w:rtl/>
        </w:rPr>
        <w:t xml:space="preserve">" (ר' פרוטוקול מיום 4.7.2022, עמ' 33 ש' 6-1). </w:t>
      </w:r>
    </w:p>
    <w:p w:rsidR="001C5F70" w:rsidRPr="001C5F70" w:rsidRDefault="001C5F70" w:rsidP="001C5F70">
      <w:pPr>
        <w:pStyle w:val="ad"/>
        <w:bidi/>
        <w:spacing w:line="360" w:lineRule="auto"/>
        <w:ind w:left="1077"/>
        <w:contextualSpacing w:val="0"/>
        <w:jc w:val="both"/>
        <w:rPr>
          <w:rFonts w:ascii="David" w:hAnsi="David"/>
          <w:sz w:val="16"/>
          <w:szCs w:val="16"/>
          <w:rtl/>
        </w:rPr>
      </w:pPr>
    </w:p>
    <w:p w:rsidR="00631D0D" w:rsidRDefault="00631D0D" w:rsidP="00D340D1">
      <w:pPr>
        <w:pStyle w:val="ad"/>
        <w:numPr>
          <w:ilvl w:val="0"/>
          <w:numId w:val="8"/>
        </w:numPr>
        <w:bidi/>
        <w:spacing w:line="360" w:lineRule="auto"/>
        <w:contextualSpacing w:val="0"/>
        <w:jc w:val="both"/>
        <w:rPr>
          <w:rFonts w:ascii="David" w:hAnsi="David"/>
        </w:rPr>
      </w:pPr>
      <w:r>
        <w:rPr>
          <w:rFonts w:ascii="David" w:hAnsi="David"/>
          <w:u w:val="single"/>
          <w:rtl/>
        </w:rPr>
        <w:t>מבחן נסיבות עריכת הצוואה</w:t>
      </w:r>
      <w:r>
        <w:rPr>
          <w:rFonts w:ascii="David" w:hAnsi="David"/>
          <w:rtl/>
        </w:rPr>
        <w:t xml:space="preserve"> – כפי שהובא לעיל, בית המשפט עשוי להידרש למבחן זה כאשר מידת מעורבותו של הנהנה בעריכת הצוואה לא מקימה עילה לפסילת הוראות הצוואה לטובת הנהנה בהתאם לסעיף 35 לחוק. כיוון שהילדים טענו למעורבות המקימה עילה לפסילה כאמור, אדרש למידת מעורבות האשה הן בראי סעיף 35 לחוק והן כנסיבה העשויה להצביע על קיומה של השפעה בלתי הוגנת מצדה על המנוח.</w:t>
      </w:r>
    </w:p>
    <w:p w:rsidR="001C5F70" w:rsidRPr="001C5F70" w:rsidRDefault="001C5F70" w:rsidP="001C5F70">
      <w:pPr>
        <w:pStyle w:val="ad"/>
        <w:bidi/>
        <w:spacing w:line="360" w:lineRule="auto"/>
        <w:ind w:left="1080"/>
        <w:contextualSpacing w:val="0"/>
        <w:jc w:val="both"/>
        <w:rPr>
          <w:rFonts w:ascii="David" w:hAnsi="David"/>
          <w:sz w:val="16"/>
          <w:szCs w:val="16"/>
          <w:rtl/>
        </w:rPr>
      </w:pPr>
    </w:p>
    <w:p w:rsidR="00631D0D" w:rsidRDefault="00631D0D" w:rsidP="00592866">
      <w:pPr>
        <w:pStyle w:val="ad"/>
        <w:bidi/>
        <w:spacing w:line="360" w:lineRule="auto"/>
        <w:ind w:left="1080"/>
        <w:contextualSpacing w:val="0"/>
        <w:jc w:val="both"/>
        <w:rPr>
          <w:rFonts w:ascii="David" w:hAnsi="David"/>
          <w:rtl/>
        </w:rPr>
      </w:pPr>
      <w:r>
        <w:rPr>
          <w:rFonts w:ascii="David" w:hAnsi="David"/>
          <w:rtl/>
        </w:rPr>
        <w:t>סעיף 35 לחוק מורה: "</w:t>
      </w:r>
      <w:r>
        <w:rPr>
          <w:rFonts w:ascii="David" w:hAnsi="David"/>
          <w:b/>
          <w:bCs/>
          <w:rtl/>
        </w:rPr>
        <w:t xml:space="preserve">הוראת צוואה, פרט לצוואה בעל-פה, המזכה את מי שערך אותה או היה עד לעשייתה או לקח באופן אחר חלק בעריכתה, והוראת צוואה המזכה בן-זוגו של אחד מאלה – </w:t>
      </w:r>
      <w:r w:rsidR="00592866">
        <w:rPr>
          <w:rFonts w:ascii="David" w:hAnsi="David" w:hint="cs"/>
          <w:b/>
          <w:bCs/>
          <w:rtl/>
        </w:rPr>
        <w:t xml:space="preserve">בטלה". </w:t>
      </w:r>
      <w:r>
        <w:rPr>
          <w:rFonts w:ascii="David" w:hAnsi="David"/>
          <w:rtl/>
        </w:rPr>
        <w:t xml:space="preserve">הצדדים אינם חלוקים בכך שהאשה לא ערכה את צוואת המנוח או הייתה עדה לעשייתה, שניהם כמשמעותם בחוק, ונשאלת השאלה האם </w:t>
      </w:r>
      <w:r w:rsidRPr="00592866">
        <w:rPr>
          <w:rFonts w:ascii="David" w:hAnsi="David"/>
          <w:b/>
          <w:bCs/>
          <w:rtl/>
        </w:rPr>
        <w:t>"לקחה באופן אחר חלק בעריכתה"</w:t>
      </w:r>
      <w:r>
        <w:rPr>
          <w:rFonts w:ascii="David" w:hAnsi="David"/>
          <w:rtl/>
        </w:rPr>
        <w:t xml:space="preserve">. </w:t>
      </w:r>
    </w:p>
    <w:p w:rsidR="00592866" w:rsidRPr="00592866" w:rsidRDefault="00592866" w:rsidP="00592866">
      <w:pPr>
        <w:pStyle w:val="ad"/>
        <w:bidi/>
        <w:spacing w:line="360" w:lineRule="auto"/>
        <w:ind w:left="1080"/>
        <w:contextualSpacing w:val="0"/>
        <w:jc w:val="both"/>
        <w:rPr>
          <w:rFonts w:ascii="David" w:hAnsi="David"/>
          <w:sz w:val="16"/>
          <w:szCs w:val="16"/>
        </w:rPr>
      </w:pPr>
    </w:p>
    <w:p w:rsidR="00592866" w:rsidRDefault="00631D0D" w:rsidP="00592866">
      <w:pPr>
        <w:pStyle w:val="ad"/>
        <w:bidi/>
        <w:spacing w:line="360" w:lineRule="auto"/>
        <w:ind w:left="1077"/>
        <w:contextualSpacing w:val="0"/>
        <w:jc w:val="both"/>
        <w:rPr>
          <w:rFonts w:ascii="David" w:hAnsi="David"/>
          <w:rtl/>
        </w:rPr>
      </w:pPr>
      <w:r>
        <w:rPr>
          <w:rFonts w:ascii="David" w:hAnsi="David"/>
          <w:rtl/>
        </w:rPr>
        <w:t>לשיטת הילדים, האשה היא הסיבה</w:t>
      </w:r>
      <w:r w:rsidR="00592866">
        <w:rPr>
          <w:rFonts w:ascii="David" w:hAnsi="David" w:hint="cs"/>
          <w:rtl/>
        </w:rPr>
        <w:t>-</w:t>
      </w:r>
      <w:r>
        <w:rPr>
          <w:rFonts w:ascii="David" w:hAnsi="David"/>
          <w:rtl/>
        </w:rPr>
        <w:t>בלעדיה</w:t>
      </w:r>
      <w:r w:rsidR="00592866">
        <w:rPr>
          <w:rFonts w:ascii="David" w:hAnsi="David" w:hint="cs"/>
          <w:rtl/>
        </w:rPr>
        <w:t>-</w:t>
      </w:r>
      <w:r>
        <w:rPr>
          <w:rFonts w:ascii="David" w:hAnsi="David"/>
          <w:rtl/>
        </w:rPr>
        <w:t>אין בכל הקשור לצוואה</w:t>
      </w:r>
      <w:r>
        <w:rPr>
          <w:rFonts w:ascii="David" w:hAnsi="David"/>
          <w:b/>
          <w:bCs/>
          <w:rtl/>
        </w:rPr>
        <w:t xml:space="preserve"> </w:t>
      </w:r>
      <w:r>
        <w:rPr>
          <w:rFonts w:ascii="David" w:hAnsi="David"/>
          <w:rtl/>
        </w:rPr>
        <w:t>שנערכה בסמוך לפטירת המנוח ז"ל ומיד לאחר גילוי דבר מחלתו הסופנית.</w:t>
      </w:r>
    </w:p>
    <w:p w:rsidR="00631D0D" w:rsidRDefault="00631D0D" w:rsidP="000A1F4B">
      <w:pPr>
        <w:pStyle w:val="ad"/>
        <w:bidi/>
        <w:spacing w:line="360" w:lineRule="auto"/>
        <w:ind w:left="1077"/>
        <w:contextualSpacing w:val="0"/>
        <w:jc w:val="both"/>
        <w:rPr>
          <w:rFonts w:ascii="David" w:hAnsi="David"/>
          <w:b/>
          <w:bCs/>
          <w:rtl/>
        </w:rPr>
      </w:pPr>
      <w:r>
        <w:rPr>
          <w:rFonts w:ascii="David" w:hAnsi="David"/>
          <w:rtl/>
        </w:rPr>
        <w:lastRenderedPageBreak/>
        <w:t>עם זאת, לאור זוגיותם ומגוריהם המשותפים ב</w:t>
      </w:r>
      <w:r w:rsidR="00592866">
        <w:rPr>
          <w:rFonts w:ascii="David" w:hAnsi="David" w:hint="cs"/>
          <w:rtl/>
        </w:rPr>
        <w:t>רבות השנים</w:t>
      </w:r>
      <w:r>
        <w:rPr>
          <w:rFonts w:ascii="David" w:hAnsi="David"/>
          <w:rtl/>
        </w:rPr>
        <w:t xml:space="preserve">, אך טבעי הוא שהאשה תיקח מקום מרכזי בחייו של המנוח. בהתאם, וכפי שהובא בסעיף </w:t>
      </w:r>
      <w:r w:rsidR="00BA0018">
        <w:rPr>
          <w:rFonts w:ascii="David" w:hAnsi="David"/>
          <w:rtl/>
        </w:rPr>
        <w:fldChar w:fldCharType="begin"/>
      </w:r>
      <w:r w:rsidR="00BA0018">
        <w:rPr>
          <w:rFonts w:ascii="David" w:hAnsi="David"/>
          <w:rtl/>
        </w:rPr>
        <w:instrText xml:space="preserve"> </w:instrText>
      </w:r>
      <w:r w:rsidR="00BA0018">
        <w:rPr>
          <w:rFonts w:ascii="David" w:hAnsi="David"/>
        </w:rPr>
        <w:instrText>REF</w:instrText>
      </w:r>
      <w:r w:rsidR="00BA0018">
        <w:rPr>
          <w:rFonts w:ascii="David" w:hAnsi="David"/>
          <w:rtl/>
        </w:rPr>
        <w:instrText xml:space="preserve"> _</w:instrText>
      </w:r>
      <w:r w:rsidR="00BA0018">
        <w:rPr>
          <w:rFonts w:ascii="David" w:hAnsi="David"/>
        </w:rPr>
        <w:instrText>Ref167952104 \r \h</w:instrText>
      </w:r>
      <w:r w:rsidR="00BA0018">
        <w:rPr>
          <w:rFonts w:ascii="David" w:hAnsi="David"/>
          <w:rtl/>
        </w:rPr>
        <w:instrText xml:space="preserve"> </w:instrText>
      </w:r>
      <w:r w:rsidR="00BA0018">
        <w:rPr>
          <w:rFonts w:ascii="David" w:hAnsi="David"/>
          <w:rtl/>
        </w:rPr>
      </w:r>
      <w:r w:rsidR="00BA0018">
        <w:rPr>
          <w:rFonts w:ascii="David" w:hAnsi="David"/>
          <w:rtl/>
        </w:rPr>
        <w:fldChar w:fldCharType="separate"/>
      </w:r>
      <w:r w:rsidR="000A1F4B">
        <w:rPr>
          <w:rFonts w:ascii="David" w:hAnsi="David"/>
          <w:cs/>
        </w:rPr>
        <w:t>‎</w:t>
      </w:r>
      <w:r w:rsidR="000A1F4B">
        <w:rPr>
          <w:rFonts w:ascii="David" w:hAnsi="David"/>
        </w:rPr>
        <w:t>29</w:t>
      </w:r>
      <w:r w:rsidR="00BA0018">
        <w:rPr>
          <w:rFonts w:ascii="David" w:hAnsi="David"/>
          <w:rtl/>
        </w:rPr>
        <w:fldChar w:fldCharType="end"/>
      </w:r>
      <w:r>
        <w:rPr>
          <w:rFonts w:ascii="David" w:hAnsi="David"/>
          <w:rtl/>
        </w:rPr>
        <w:t xml:space="preserve"> לעיל, אין בעצם בחירתה את עורך הדין שערך את הצוואה ופנייתה אליו כדי להצביע על השפעה בלתי הוגנת מצדה, ומכאן שקל וחומר שאין בה כדי להוות מעורבות בעריכת הצוואה כמשמעותה בסעיף 35 לחוק. לא כל שכן, עורך הדין שערך את הצוואה העיד כי שוחח טלפונית עם המנוח על תוכן הצוואה לפני שהביא אותה לחתימה בביתו: "</w:t>
      </w:r>
      <w:r>
        <w:rPr>
          <w:rFonts w:ascii="David" w:hAnsi="David"/>
          <w:b/>
          <w:bCs/>
          <w:rtl/>
        </w:rPr>
        <w:t xml:space="preserve">הייתה שיחת טלפון שהתקשרתי למנוח ואני שאלתי אותו אם 1, 2, 3, 4, 5, אתה רוצה להוריש </w:t>
      </w:r>
      <w:r w:rsidR="000A1F4B">
        <w:rPr>
          <w:rFonts w:ascii="David" w:hAnsi="David" w:hint="cs"/>
          <w:b/>
          <w:bCs/>
          <w:rtl/>
        </w:rPr>
        <w:t>[לאשה]</w:t>
      </w:r>
      <w:r>
        <w:rPr>
          <w:rFonts w:ascii="David" w:hAnsi="David"/>
          <w:b/>
          <w:bCs/>
          <w:rtl/>
        </w:rPr>
        <w:t>, תעודות זהות של הילדים ביקשתי, ביקשתי את כל הדברים האלה כדי לראות שהכל מסונכרן. כלומר, זה לא היה שבאתי עם צוואה ככה מוכנה. הרי תשאלתי אותו לפני כן. הוא נתן לי פרטים, רשמתי את כל הדברים</w:t>
      </w:r>
      <w:r>
        <w:rPr>
          <w:rFonts w:ascii="David" w:hAnsi="David"/>
          <w:rtl/>
        </w:rPr>
        <w:t>"</w:t>
      </w:r>
      <w:r w:rsidR="00592866">
        <w:rPr>
          <w:rFonts w:ascii="David" w:hAnsi="David" w:hint="cs"/>
          <w:rtl/>
        </w:rPr>
        <w:t>, ומצאתי לקבל את עדותו</w:t>
      </w:r>
      <w:r>
        <w:rPr>
          <w:rFonts w:ascii="David" w:hAnsi="David"/>
          <w:rtl/>
        </w:rPr>
        <w:t xml:space="preserve"> (ר' פרוטוקול מיום 31.8.2022</w:t>
      </w:r>
      <w:r w:rsidR="00592866">
        <w:rPr>
          <w:rFonts w:ascii="David" w:hAnsi="David" w:hint="cs"/>
          <w:rtl/>
        </w:rPr>
        <w:t>,</w:t>
      </w:r>
      <w:r>
        <w:rPr>
          <w:rFonts w:ascii="David" w:hAnsi="David"/>
          <w:rtl/>
        </w:rPr>
        <w:t xml:space="preserve"> עמ' 141</w:t>
      </w:r>
      <w:r w:rsidR="00592866">
        <w:rPr>
          <w:rFonts w:ascii="David" w:hAnsi="David" w:hint="cs"/>
          <w:rtl/>
        </w:rPr>
        <w:t>,</w:t>
      </w:r>
      <w:r>
        <w:rPr>
          <w:rFonts w:ascii="David" w:hAnsi="David"/>
          <w:rtl/>
        </w:rPr>
        <w:t xml:space="preserve"> ש' 29-25).</w:t>
      </w:r>
      <w:r>
        <w:rPr>
          <w:rFonts w:ascii="David" w:hAnsi="David"/>
          <w:b/>
          <w:bCs/>
          <w:rtl/>
        </w:rPr>
        <w:t xml:space="preserve"> </w:t>
      </w:r>
    </w:p>
    <w:p w:rsidR="00592866" w:rsidRPr="00592866" w:rsidRDefault="00592866" w:rsidP="00592866">
      <w:pPr>
        <w:pStyle w:val="ad"/>
        <w:bidi/>
        <w:spacing w:line="360" w:lineRule="auto"/>
        <w:ind w:left="1077"/>
        <w:contextualSpacing w:val="0"/>
        <w:jc w:val="both"/>
        <w:rPr>
          <w:rFonts w:ascii="David" w:hAnsi="David"/>
          <w:b/>
          <w:bCs/>
          <w:sz w:val="16"/>
          <w:szCs w:val="16"/>
          <w:rtl/>
        </w:rPr>
      </w:pPr>
    </w:p>
    <w:p w:rsidR="00631D0D" w:rsidRDefault="00631D0D" w:rsidP="00D340D1">
      <w:pPr>
        <w:pStyle w:val="ad"/>
        <w:bidi/>
        <w:spacing w:line="360" w:lineRule="auto"/>
        <w:ind w:left="1077"/>
        <w:contextualSpacing w:val="0"/>
        <w:jc w:val="both"/>
        <w:rPr>
          <w:rFonts w:ascii="David" w:hAnsi="David"/>
          <w:rtl/>
        </w:rPr>
      </w:pPr>
      <w:r>
        <w:rPr>
          <w:rFonts w:ascii="David" w:hAnsi="David"/>
          <w:rtl/>
        </w:rPr>
        <w:t>בנוסף, ביום עריכת הצוואה, האשה יצאה מהבית בשעה שכשירות המנוח לצוות נבדקה על ידי הפסיכיאטר ד"ר רוזנברג וכן בשעה שחתם המנוח על הצוואה בפני עורך הדין (כך, על פי שלוש עדויותיהם</w:t>
      </w:r>
      <w:r w:rsidR="00592866">
        <w:rPr>
          <w:rFonts w:ascii="David" w:hAnsi="David" w:hint="cs"/>
          <w:rtl/>
        </w:rPr>
        <w:t xml:space="preserve"> שמצאתי לקבלן</w:t>
      </w:r>
      <w:r>
        <w:rPr>
          <w:rFonts w:ascii="David" w:hAnsi="David"/>
          <w:rtl/>
        </w:rPr>
        <w:t xml:space="preserve">). אשר על כן, לא הוכח כי לאשה הייתה מעורבות </w:t>
      </w:r>
      <w:r>
        <w:rPr>
          <w:rFonts w:ascii="David" w:hAnsi="David"/>
          <w:i/>
          <w:iCs/>
          <w:rtl/>
        </w:rPr>
        <w:t>פסולה</w:t>
      </w:r>
      <w:r>
        <w:rPr>
          <w:rFonts w:ascii="David" w:hAnsi="David"/>
          <w:rtl/>
        </w:rPr>
        <w:t xml:space="preserve"> בעשיית הצוואה.</w:t>
      </w:r>
    </w:p>
    <w:p w:rsidR="00592866" w:rsidRPr="00592866" w:rsidRDefault="00592866" w:rsidP="00592866">
      <w:pPr>
        <w:pStyle w:val="ad"/>
        <w:bidi/>
        <w:spacing w:line="360" w:lineRule="auto"/>
        <w:ind w:left="1077"/>
        <w:contextualSpacing w:val="0"/>
        <w:jc w:val="both"/>
        <w:rPr>
          <w:rFonts w:ascii="David" w:hAnsi="David"/>
          <w:sz w:val="16"/>
          <w:szCs w:val="16"/>
          <w:rtl/>
        </w:rPr>
      </w:pPr>
    </w:p>
    <w:p w:rsidR="00631D0D" w:rsidRDefault="00631D0D" w:rsidP="004C512F">
      <w:pPr>
        <w:pStyle w:val="ad"/>
        <w:numPr>
          <w:ilvl w:val="0"/>
          <w:numId w:val="1"/>
        </w:numPr>
        <w:bidi/>
        <w:spacing w:line="360" w:lineRule="auto"/>
        <w:ind w:left="567" w:hanging="561"/>
        <w:contextualSpacing w:val="0"/>
        <w:jc w:val="both"/>
        <w:rPr>
          <w:rFonts w:ascii="David" w:hAnsi="David"/>
        </w:rPr>
      </w:pPr>
      <w:r>
        <w:rPr>
          <w:rFonts w:ascii="David" w:hAnsi="David"/>
          <w:rtl/>
        </w:rPr>
        <w:t xml:space="preserve">אשר על כן, מצאתי כי לא הוכח שלאשה הייתה השפעה </w:t>
      </w:r>
      <w:r w:rsidRPr="00592866">
        <w:rPr>
          <w:rFonts w:ascii="David" w:hAnsi="David"/>
          <w:i/>
          <w:iCs/>
          <w:rtl/>
        </w:rPr>
        <w:t>בלתי הוגנת</w:t>
      </w:r>
      <w:r>
        <w:rPr>
          <w:rFonts w:ascii="David" w:hAnsi="David"/>
          <w:rtl/>
        </w:rPr>
        <w:t xml:space="preserve"> על המנוח. לעניין זה, חשוב להזכיר כי הדין איננו אוסר השפעה על מצווה להוריש את עיזבונו לפלוני או לאלמוני, אלא הדין אוסר קיומה של השפעה בעלת </w:t>
      </w:r>
      <w:r>
        <w:rPr>
          <w:rFonts w:ascii="David" w:hAnsi="David"/>
          <w:u w:val="single"/>
          <w:rtl/>
        </w:rPr>
        <w:t>סממנים קשים ובלתי הוגנים</w:t>
      </w:r>
      <w:r>
        <w:rPr>
          <w:rFonts w:ascii="David" w:hAnsi="David"/>
          <w:rtl/>
        </w:rPr>
        <w:t xml:space="preserve"> שיש בהם לשלול מהמצווה את רצונו האמיתי. בעת קביעתי זו לא נעלם מעיני כי </w:t>
      </w:r>
      <w:r w:rsidR="004C512F">
        <w:rPr>
          <w:rFonts w:ascii="David" w:hAnsi="David" w:hint="cs"/>
          <w:rtl/>
        </w:rPr>
        <w:t xml:space="preserve">מתן צו לקיומה של הצוואה </w:t>
      </w:r>
      <w:r>
        <w:rPr>
          <w:rFonts w:ascii="David" w:hAnsi="David"/>
          <w:rtl/>
        </w:rPr>
        <w:t>פירוש</w:t>
      </w:r>
      <w:r w:rsidR="004C512F">
        <w:rPr>
          <w:rFonts w:ascii="David" w:hAnsi="David" w:hint="cs"/>
          <w:rtl/>
        </w:rPr>
        <w:t>ו</w:t>
      </w:r>
      <w:r>
        <w:rPr>
          <w:rFonts w:ascii="David" w:hAnsi="David"/>
          <w:rtl/>
        </w:rPr>
        <w:t xml:space="preserve"> </w:t>
      </w:r>
      <w:r w:rsidR="004C512F">
        <w:rPr>
          <w:rFonts w:ascii="David" w:hAnsi="David" w:hint="cs"/>
          <w:rtl/>
        </w:rPr>
        <w:t xml:space="preserve">הענקת זכויות לאשה בניגוד להלך רוחו של המנוח </w:t>
      </w:r>
      <w:r>
        <w:rPr>
          <w:rFonts w:ascii="David" w:hAnsi="David"/>
          <w:rtl/>
        </w:rPr>
        <w:t>משך שנות זוגיות ארוכות, לפיו קיימת ביניהם הפרדה רכושית</w:t>
      </w:r>
      <w:r w:rsidR="004C512F">
        <w:rPr>
          <w:rFonts w:ascii="David" w:hAnsi="David" w:hint="cs"/>
          <w:rtl/>
        </w:rPr>
        <w:t xml:space="preserve"> בחייו ואף לאחר פטירתו בשים לב לצוואה המוקדמת לטובת ילדיו. </w:t>
      </w:r>
      <w:r>
        <w:rPr>
          <w:rFonts w:ascii="David" w:hAnsi="David"/>
          <w:rtl/>
        </w:rPr>
        <w:t>עם זאת, חלפו כמעט 20 שנ</w:t>
      </w:r>
      <w:r w:rsidR="004C512F">
        <w:rPr>
          <w:rFonts w:ascii="David" w:hAnsi="David" w:hint="cs"/>
          <w:rtl/>
        </w:rPr>
        <w:t>ים</w:t>
      </w:r>
      <w:r>
        <w:rPr>
          <w:rFonts w:ascii="David" w:hAnsi="David"/>
          <w:rtl/>
        </w:rPr>
        <w:t xml:space="preserve"> בין </w:t>
      </w:r>
      <w:r w:rsidR="004C512F">
        <w:rPr>
          <w:rFonts w:ascii="David" w:hAnsi="David" w:hint="cs"/>
          <w:rtl/>
        </w:rPr>
        <w:t xml:space="preserve">מועד עריכת </w:t>
      </w:r>
      <w:r>
        <w:rPr>
          <w:rFonts w:ascii="David" w:hAnsi="David"/>
          <w:rtl/>
        </w:rPr>
        <w:t>הצוואה המוקדמת שהניח המנוח ל</w:t>
      </w:r>
      <w:r w:rsidR="004C512F">
        <w:rPr>
          <w:rFonts w:ascii="David" w:hAnsi="David" w:hint="cs"/>
          <w:rtl/>
        </w:rPr>
        <w:t xml:space="preserve">מועד עריכת הצוואה </w:t>
      </w:r>
      <w:r>
        <w:rPr>
          <w:rFonts w:ascii="David" w:hAnsi="David"/>
          <w:rtl/>
        </w:rPr>
        <w:t xml:space="preserve">הנדונה, פרק זמן לא מבוטל בו לא מן הנמנע כי רצונו של אדם עשוי להשתנות. </w:t>
      </w:r>
    </w:p>
    <w:p w:rsidR="004C512F" w:rsidRPr="004C512F" w:rsidRDefault="004C512F" w:rsidP="004C512F">
      <w:pPr>
        <w:pStyle w:val="ad"/>
        <w:bidi/>
        <w:spacing w:line="360" w:lineRule="auto"/>
        <w:ind w:left="567"/>
        <w:contextualSpacing w:val="0"/>
        <w:jc w:val="both"/>
        <w:rPr>
          <w:rFonts w:ascii="David" w:hAnsi="David"/>
          <w:sz w:val="16"/>
          <w:szCs w:val="16"/>
          <w:rtl/>
        </w:rPr>
      </w:pPr>
    </w:p>
    <w:p w:rsidR="00631D0D" w:rsidRDefault="00631D0D" w:rsidP="004C512F">
      <w:pPr>
        <w:bidi/>
        <w:spacing w:line="360" w:lineRule="auto"/>
        <w:jc w:val="both"/>
        <w:rPr>
          <w:rFonts w:ascii="David" w:hAnsi="David"/>
          <w:b/>
          <w:bCs/>
          <w:rtl/>
        </w:rPr>
      </w:pPr>
      <w:r>
        <w:rPr>
          <w:rFonts w:ascii="David" w:hAnsi="David"/>
          <w:b/>
          <w:bCs/>
          <w:rtl/>
        </w:rPr>
        <w:t xml:space="preserve">ג.3. – האם יש מקום להחיל בענייננו את הלכת </w:t>
      </w:r>
      <w:r w:rsidR="004C512F">
        <w:rPr>
          <w:rFonts w:ascii="David" w:hAnsi="David" w:hint="cs"/>
          <w:b/>
          <w:bCs/>
          <w:rtl/>
        </w:rPr>
        <w:t>'</w:t>
      </w:r>
      <w:r>
        <w:rPr>
          <w:rFonts w:ascii="David" w:hAnsi="David"/>
          <w:b/>
          <w:bCs/>
          <w:rtl/>
        </w:rPr>
        <w:t>החוטים השזורים</w:t>
      </w:r>
      <w:r w:rsidR="004C512F">
        <w:rPr>
          <w:rFonts w:ascii="David" w:hAnsi="David" w:hint="cs"/>
          <w:b/>
          <w:bCs/>
          <w:rtl/>
        </w:rPr>
        <w:t>'</w:t>
      </w:r>
      <w:r>
        <w:rPr>
          <w:rFonts w:ascii="David" w:hAnsi="David"/>
          <w:b/>
          <w:bCs/>
          <w:rtl/>
        </w:rPr>
        <w:t>?</w:t>
      </w:r>
    </w:p>
    <w:p w:rsidR="004C512F" w:rsidRPr="004C512F" w:rsidRDefault="004C512F" w:rsidP="004C512F">
      <w:pPr>
        <w:bidi/>
        <w:spacing w:line="360" w:lineRule="auto"/>
        <w:jc w:val="both"/>
        <w:rPr>
          <w:rFonts w:ascii="David" w:hAnsi="David"/>
          <w:b/>
          <w:bCs/>
          <w:sz w:val="16"/>
          <w:szCs w:val="16"/>
        </w:rPr>
      </w:pPr>
    </w:p>
    <w:p w:rsidR="00631D0D" w:rsidRDefault="00631D0D" w:rsidP="00170B52">
      <w:pPr>
        <w:pStyle w:val="ad"/>
        <w:numPr>
          <w:ilvl w:val="0"/>
          <w:numId w:val="1"/>
        </w:numPr>
        <w:bidi/>
        <w:spacing w:line="360" w:lineRule="auto"/>
        <w:ind w:left="567" w:hanging="561"/>
        <w:contextualSpacing w:val="0"/>
        <w:jc w:val="both"/>
        <w:rPr>
          <w:rFonts w:ascii="David" w:hAnsi="David"/>
        </w:rPr>
      </w:pPr>
      <w:r>
        <w:rPr>
          <w:rFonts w:ascii="David" w:hAnsi="David"/>
          <w:rtl/>
        </w:rPr>
        <w:t xml:space="preserve">הלכת </w:t>
      </w:r>
      <w:r w:rsidR="004C512F">
        <w:rPr>
          <w:rFonts w:ascii="David" w:hAnsi="David" w:hint="cs"/>
          <w:rtl/>
        </w:rPr>
        <w:t>'</w:t>
      </w:r>
      <w:r>
        <w:rPr>
          <w:rFonts w:ascii="David" w:hAnsi="David"/>
          <w:rtl/>
        </w:rPr>
        <w:t>החוטים השזורים</w:t>
      </w:r>
      <w:r w:rsidR="004C512F">
        <w:rPr>
          <w:rFonts w:ascii="David" w:hAnsi="David" w:hint="cs"/>
          <w:rtl/>
        </w:rPr>
        <w:t>'</w:t>
      </w:r>
      <w:r>
        <w:rPr>
          <w:rFonts w:ascii="David" w:hAnsi="David"/>
          <w:rtl/>
        </w:rPr>
        <w:t xml:space="preserve"> הפסיקתית מאפשרת, גם בהיעדר התקיימות אחת מעילות הפסלות שבחוק, להורות על ביטול צוואה, לאור יחסי הגומלין בין עילות הפסלות והשלכת האחת על רעותה. "</w:t>
      </w:r>
      <w:r>
        <w:rPr>
          <w:rFonts w:ascii="David" w:hAnsi="David"/>
          <w:b/>
          <w:bCs/>
          <w:rtl/>
        </w:rPr>
        <w:t xml:space="preserve">חוטים שונים של עילות שונות – הגם שלא היה בכוחם לבסס עילה עצמאית – יכולים להישזר יחד לרבדים המחזקים ומבססים את מסקנת בית המשפט </w:t>
      </w:r>
      <w:r>
        <w:rPr>
          <w:rFonts w:ascii="David" w:hAnsi="David"/>
          <w:rtl/>
        </w:rPr>
        <w:t xml:space="preserve">[..]" (ר' בע"מ 4459/14 </w:t>
      </w:r>
      <w:r>
        <w:rPr>
          <w:rFonts w:ascii="David" w:hAnsi="David"/>
          <w:b/>
          <w:bCs/>
          <w:rtl/>
        </w:rPr>
        <w:t>פלונית נ' פלוני</w:t>
      </w:r>
      <w:r>
        <w:rPr>
          <w:rFonts w:ascii="David" w:hAnsi="David"/>
          <w:rtl/>
        </w:rPr>
        <w:t xml:space="preserve"> (נבו 06.05.2015</w:t>
      </w:r>
      <w:r>
        <w:rPr>
          <w:rFonts w:ascii="David" w:hAnsi="David"/>
        </w:rPr>
        <w:t>(</w:t>
      </w:r>
      <w:r>
        <w:rPr>
          <w:rFonts w:ascii="David" w:hAnsi="David"/>
          <w:rtl/>
        </w:rPr>
        <w:t>).</w:t>
      </w:r>
      <w:r w:rsidR="00170B52">
        <w:rPr>
          <w:rFonts w:ascii="David" w:hAnsi="David" w:hint="cs"/>
          <w:rtl/>
        </w:rPr>
        <w:t xml:space="preserve"> עם כל הכבוד,</w:t>
      </w:r>
      <w:r w:rsidRPr="00170B52">
        <w:rPr>
          <w:rFonts w:ascii="David" w:hAnsi="David"/>
          <w:rtl/>
        </w:rPr>
        <w:t xml:space="preserve"> למרות שלא מתקיימת בענייננו עילה מעילות הפסלות, </w:t>
      </w:r>
      <w:r w:rsidR="00170B52">
        <w:rPr>
          <w:rFonts w:ascii="David" w:hAnsi="David" w:hint="cs"/>
          <w:rtl/>
        </w:rPr>
        <w:t xml:space="preserve">ראוי לומר כי </w:t>
      </w:r>
      <w:r w:rsidRPr="00170B52">
        <w:rPr>
          <w:rFonts w:ascii="David" w:hAnsi="David"/>
          <w:rtl/>
        </w:rPr>
        <w:t>נסיבות עריכת הצוואה אפופות בעננת ספק מטרידה</w:t>
      </w:r>
      <w:r w:rsidR="00170B52">
        <w:rPr>
          <w:rFonts w:ascii="David" w:hAnsi="David" w:hint="cs"/>
          <w:rtl/>
        </w:rPr>
        <w:t>, שכן</w:t>
      </w:r>
      <w:r w:rsidRPr="00170B52">
        <w:rPr>
          <w:rFonts w:ascii="David" w:hAnsi="David"/>
          <w:rtl/>
        </w:rPr>
        <w:t xml:space="preserve"> עולה אי-נוחות ממשית מכך שהאשה לא מסרה את דבר מחלתו המתקדמת של המנוח לעורך הדין שערך את הצוואה ולפסיכיאטר שבדק את המנוח ביום עריכתה, כך על פי כל עדויותיהם. זאת, בשעה ששהתה בבית לאורך יום עריכת הצוואה ושוחחה עם שניהם. </w:t>
      </w:r>
    </w:p>
    <w:p w:rsidR="00170B52" w:rsidRDefault="00170B52" w:rsidP="00170B52">
      <w:pPr>
        <w:pStyle w:val="ad"/>
        <w:bidi/>
        <w:spacing w:line="360" w:lineRule="auto"/>
        <w:ind w:left="567"/>
        <w:contextualSpacing w:val="0"/>
        <w:jc w:val="both"/>
        <w:rPr>
          <w:rFonts w:ascii="David" w:hAnsi="David"/>
        </w:rPr>
      </w:pPr>
    </w:p>
    <w:p w:rsidR="00631D0D" w:rsidRDefault="00170B52" w:rsidP="00170B52">
      <w:pPr>
        <w:pStyle w:val="ad"/>
        <w:numPr>
          <w:ilvl w:val="0"/>
          <w:numId w:val="1"/>
        </w:numPr>
        <w:bidi/>
        <w:spacing w:line="360" w:lineRule="auto"/>
        <w:ind w:left="567" w:hanging="561"/>
        <w:contextualSpacing w:val="0"/>
        <w:jc w:val="both"/>
        <w:rPr>
          <w:rFonts w:ascii="David" w:hAnsi="David"/>
        </w:rPr>
      </w:pPr>
      <w:r>
        <w:rPr>
          <w:rFonts w:ascii="David" w:hAnsi="David" w:hint="cs"/>
          <w:rtl/>
        </w:rPr>
        <w:lastRenderedPageBreak/>
        <w:t xml:space="preserve">כמו </w:t>
      </w:r>
      <w:r w:rsidR="00631D0D" w:rsidRPr="00170B52">
        <w:rPr>
          <w:rFonts w:ascii="David" w:hAnsi="David"/>
          <w:rtl/>
        </w:rPr>
        <w:t>כן</w:t>
      </w:r>
      <w:r>
        <w:rPr>
          <w:rFonts w:ascii="David" w:hAnsi="David" w:hint="cs"/>
          <w:rtl/>
        </w:rPr>
        <w:t>,</w:t>
      </w:r>
      <w:r w:rsidR="00631D0D" w:rsidRPr="00170B52">
        <w:rPr>
          <w:rFonts w:ascii="David" w:hAnsi="David"/>
          <w:rtl/>
        </w:rPr>
        <w:t xml:space="preserve"> מתקשה אני להניח דעתי </w:t>
      </w:r>
      <w:r>
        <w:rPr>
          <w:rFonts w:ascii="David" w:hAnsi="David" w:hint="cs"/>
          <w:rtl/>
        </w:rPr>
        <w:t xml:space="preserve">עד תום </w:t>
      </w:r>
      <w:r w:rsidR="00631D0D" w:rsidRPr="00170B52">
        <w:rPr>
          <w:rFonts w:ascii="David" w:hAnsi="David"/>
          <w:rtl/>
        </w:rPr>
        <w:t xml:space="preserve">בעניין המצלמות שהתקינה האשה בבית והיו גורם פיקוח רצוף ומתמשך על המנוח, זאת לצד מספר עדויות על היות בית המנוח סגור בפני בני משפחתו. זאת ועוד, התיעוד ממצלמות אלה יכול היה לשפוך אור על יום עריכת הצוואה ולהפיג טענות בקשר ל"תרגול" המנוח ו"דקלום" הדברים על ידו בסרטון הקצר שצילם עורך הדין שערך את הצוואה, אך האשה בחרה שלא להציג ראיות כאמור בפני בית המשפט ותשובותיה </w:t>
      </w:r>
      <w:r>
        <w:rPr>
          <w:rFonts w:ascii="David" w:hAnsi="David" w:hint="cs"/>
          <w:rtl/>
        </w:rPr>
        <w:t>לשאלות לא מעטות ב</w:t>
      </w:r>
      <w:r w:rsidR="00631D0D" w:rsidRPr="00170B52">
        <w:rPr>
          <w:rFonts w:ascii="David" w:hAnsi="David"/>
          <w:rtl/>
        </w:rPr>
        <w:t xml:space="preserve">עניין המצלמות ניכרות היו להיות מתחמקות (ר' פרוטוקול מיום 4.7.2022, עמ' 92 ש' 30 – עמ' 100 ש' 32). </w:t>
      </w:r>
    </w:p>
    <w:p w:rsidR="00170B52" w:rsidRPr="00170B52" w:rsidRDefault="00170B52" w:rsidP="00170B52">
      <w:pPr>
        <w:pStyle w:val="ad"/>
        <w:rPr>
          <w:rFonts w:ascii="David" w:hAnsi="David"/>
          <w:sz w:val="16"/>
          <w:szCs w:val="16"/>
          <w:rtl/>
        </w:rPr>
      </w:pPr>
    </w:p>
    <w:p w:rsidR="00631D0D" w:rsidRDefault="00631D0D" w:rsidP="00170B52">
      <w:pPr>
        <w:pStyle w:val="ad"/>
        <w:numPr>
          <w:ilvl w:val="0"/>
          <w:numId w:val="1"/>
        </w:numPr>
        <w:bidi/>
        <w:spacing w:line="360" w:lineRule="auto"/>
        <w:ind w:left="567" w:hanging="561"/>
        <w:contextualSpacing w:val="0"/>
        <w:jc w:val="both"/>
        <w:rPr>
          <w:rFonts w:ascii="David" w:hAnsi="David"/>
        </w:rPr>
      </w:pPr>
      <w:r w:rsidRPr="00170B52">
        <w:rPr>
          <w:rFonts w:ascii="David" w:hAnsi="David"/>
          <w:rtl/>
        </w:rPr>
        <w:t>אף לא נעלם מעיניי כי בעת חקירת עו</w:t>
      </w:r>
      <w:r w:rsidR="000D2063" w:rsidRPr="00170B52">
        <w:rPr>
          <w:rFonts w:ascii="David" w:hAnsi="David"/>
          <w:rtl/>
        </w:rPr>
        <w:t xml:space="preserve">רך הדין שטיפל בנושא הסכם המתנה </w:t>
      </w:r>
      <w:r w:rsidRPr="00170B52">
        <w:rPr>
          <w:rFonts w:ascii="David" w:hAnsi="David"/>
          <w:rtl/>
        </w:rPr>
        <w:t>בין המנוח לילדים משנת 2019, זה נשאל על ידי ב"כ האשה לתחושתו באשר לכשירות המנוח לחתום על ההסכם (ר' פרוטוקול מיום 4.7.2022, עמ' 18</w:t>
      </w:r>
      <w:r w:rsidR="00170B52">
        <w:rPr>
          <w:rFonts w:ascii="David" w:hAnsi="David" w:hint="cs"/>
          <w:rtl/>
        </w:rPr>
        <w:t>,</w:t>
      </w:r>
      <w:r w:rsidRPr="00170B52">
        <w:rPr>
          <w:rFonts w:ascii="David" w:hAnsi="David"/>
          <w:rtl/>
        </w:rPr>
        <w:t xml:space="preserve"> ש' 30 – עמ' 19</w:t>
      </w:r>
      <w:r w:rsidR="00170B52">
        <w:rPr>
          <w:rFonts w:ascii="David" w:hAnsi="David" w:hint="cs"/>
          <w:rtl/>
        </w:rPr>
        <w:t>,</w:t>
      </w:r>
      <w:r w:rsidRPr="00170B52">
        <w:rPr>
          <w:rFonts w:ascii="David" w:hAnsi="David"/>
          <w:rtl/>
        </w:rPr>
        <w:t xml:space="preserve"> ש' 8). קו חקירה זה תמוה כי יושם בכפיפה אחת עם המסגרת הראייתית שהניחה בפניי האשה להוכחת כשירותו לערוך צוואה בשנת 2021. יחד עם זאת, </w:t>
      </w:r>
      <w:r w:rsidR="000D2063" w:rsidRPr="00170B52">
        <w:rPr>
          <w:rFonts w:ascii="David" w:hAnsi="David"/>
          <w:rtl/>
        </w:rPr>
        <w:t>מצבו הקוגניטיבי האמיתי של המנוח</w:t>
      </w:r>
      <w:r w:rsidR="000D2063" w:rsidRPr="00170B52">
        <w:rPr>
          <w:rFonts w:ascii="David" w:hAnsi="David" w:hint="cs"/>
          <w:rtl/>
        </w:rPr>
        <w:t>, כאמור,</w:t>
      </w:r>
      <w:r w:rsidRPr="00170B52">
        <w:rPr>
          <w:rFonts w:ascii="David" w:hAnsi="David"/>
          <w:rtl/>
        </w:rPr>
        <w:t xml:space="preserve"> התברר בפנ</w:t>
      </w:r>
      <w:r w:rsidR="000D2063" w:rsidRPr="00170B52">
        <w:rPr>
          <w:rFonts w:ascii="David" w:hAnsi="David" w:hint="cs"/>
          <w:rtl/>
        </w:rPr>
        <w:t>י</w:t>
      </w:r>
      <w:r w:rsidRPr="00170B52">
        <w:rPr>
          <w:rFonts w:ascii="David" w:hAnsi="David"/>
          <w:rtl/>
        </w:rPr>
        <w:t>י לרבות באמצעות חוו"ד של מומחה.</w:t>
      </w:r>
    </w:p>
    <w:p w:rsidR="00170B52" w:rsidRPr="00170B52" w:rsidRDefault="00170B52" w:rsidP="00170B52">
      <w:pPr>
        <w:pStyle w:val="ad"/>
        <w:rPr>
          <w:rFonts w:ascii="David" w:hAnsi="David"/>
          <w:sz w:val="16"/>
          <w:szCs w:val="16"/>
          <w:rtl/>
        </w:rPr>
      </w:pPr>
    </w:p>
    <w:p w:rsidR="00631D0D" w:rsidRPr="00170B52" w:rsidRDefault="00170B52" w:rsidP="00170B52">
      <w:pPr>
        <w:pStyle w:val="ad"/>
        <w:numPr>
          <w:ilvl w:val="0"/>
          <w:numId w:val="1"/>
        </w:numPr>
        <w:bidi/>
        <w:spacing w:line="360" w:lineRule="auto"/>
        <w:ind w:left="567" w:hanging="561"/>
        <w:contextualSpacing w:val="0"/>
        <w:jc w:val="both"/>
        <w:rPr>
          <w:rFonts w:ascii="David" w:hAnsi="David"/>
          <w:rtl/>
        </w:rPr>
      </w:pPr>
      <w:r>
        <w:rPr>
          <w:rFonts w:ascii="David" w:hAnsi="David" w:hint="cs"/>
          <w:rtl/>
        </w:rPr>
        <w:t xml:space="preserve">חרף כל האמור לעיל, </w:t>
      </w:r>
      <w:r w:rsidR="00631D0D" w:rsidRPr="00170B52">
        <w:rPr>
          <w:rFonts w:ascii="David" w:hAnsi="David"/>
          <w:rtl/>
        </w:rPr>
        <w:t xml:space="preserve">לאחר ששקלתי בכובד ראש את טענת הילדים לפיה יש להחיל בענייננו את הלכת </w:t>
      </w:r>
      <w:r>
        <w:rPr>
          <w:rFonts w:ascii="David" w:hAnsi="David" w:hint="cs"/>
          <w:rtl/>
        </w:rPr>
        <w:t>'</w:t>
      </w:r>
      <w:r w:rsidR="00631D0D" w:rsidRPr="00170B52">
        <w:rPr>
          <w:rFonts w:ascii="David" w:hAnsi="David"/>
          <w:rtl/>
        </w:rPr>
        <w:t>החוטים השזורים</w:t>
      </w:r>
      <w:r>
        <w:rPr>
          <w:rFonts w:ascii="David" w:hAnsi="David" w:hint="cs"/>
          <w:rtl/>
        </w:rPr>
        <w:t>'</w:t>
      </w:r>
      <w:r w:rsidR="00631D0D" w:rsidRPr="00170B52">
        <w:rPr>
          <w:rFonts w:ascii="David" w:hAnsi="David"/>
          <w:rtl/>
        </w:rPr>
        <w:t xml:space="preserve"> מצאתי כי לא הצטברה מסה קריטית לשם קביעה כאמור. </w:t>
      </w:r>
    </w:p>
    <w:p w:rsidR="00631D0D" w:rsidRDefault="00631D0D" w:rsidP="00D340D1">
      <w:pPr>
        <w:pStyle w:val="ad"/>
        <w:bidi/>
        <w:spacing w:line="360" w:lineRule="auto"/>
        <w:contextualSpacing w:val="0"/>
        <w:rPr>
          <w:rFonts w:ascii="David" w:hAnsi="David"/>
          <w:sz w:val="16"/>
          <w:szCs w:val="16"/>
        </w:rPr>
      </w:pPr>
    </w:p>
    <w:p w:rsidR="00631D0D" w:rsidRDefault="00631D0D" w:rsidP="00D340D1">
      <w:pPr>
        <w:bidi/>
        <w:spacing w:line="360" w:lineRule="auto"/>
        <w:jc w:val="both"/>
        <w:rPr>
          <w:rFonts w:ascii="David" w:hAnsi="David"/>
          <w:b/>
          <w:bCs/>
          <w:rtl/>
        </w:rPr>
      </w:pPr>
      <w:r>
        <w:rPr>
          <w:rFonts w:ascii="David" w:hAnsi="David"/>
          <w:b/>
          <w:bCs/>
          <w:rtl/>
        </w:rPr>
        <w:t>ד'</w:t>
      </w:r>
      <w:r w:rsidR="00065EDC">
        <w:rPr>
          <w:rFonts w:ascii="David" w:hAnsi="David" w:hint="cs"/>
          <w:b/>
          <w:bCs/>
          <w:rtl/>
        </w:rPr>
        <w:t xml:space="preserve"> </w:t>
      </w:r>
      <w:r>
        <w:rPr>
          <w:rFonts w:ascii="David" w:hAnsi="David"/>
          <w:b/>
          <w:bCs/>
          <w:rtl/>
        </w:rPr>
        <w:t>- סיכומם של דברים:</w:t>
      </w:r>
    </w:p>
    <w:p w:rsidR="00170B52" w:rsidRPr="00170B52" w:rsidRDefault="00170B52" w:rsidP="00170B52">
      <w:pPr>
        <w:bidi/>
        <w:spacing w:line="360" w:lineRule="auto"/>
        <w:jc w:val="both"/>
        <w:rPr>
          <w:rFonts w:ascii="David" w:hAnsi="David"/>
          <w:b/>
          <w:bCs/>
          <w:sz w:val="16"/>
          <w:szCs w:val="16"/>
          <w:rtl/>
        </w:rPr>
      </w:pPr>
    </w:p>
    <w:p w:rsidR="00631D0D" w:rsidRDefault="00631D0D" w:rsidP="00A57C3B">
      <w:pPr>
        <w:pStyle w:val="ad"/>
        <w:numPr>
          <w:ilvl w:val="0"/>
          <w:numId w:val="1"/>
        </w:numPr>
        <w:bidi/>
        <w:spacing w:line="360" w:lineRule="auto"/>
        <w:ind w:left="567" w:hanging="567"/>
        <w:contextualSpacing w:val="0"/>
        <w:jc w:val="both"/>
        <w:rPr>
          <w:rFonts w:ascii="David" w:hAnsi="David"/>
        </w:rPr>
      </w:pPr>
      <w:r>
        <w:rPr>
          <w:rFonts w:ascii="David" w:hAnsi="David"/>
          <w:rtl/>
        </w:rPr>
        <w:t>חרף אי-הנוחות שנמצאה במספר אירועים כאמור לעיל, לא מצאתי כי עלה ביד הילדים לעמוד בנטל הנדרש לביטול הצוואה מטעמים של היעדר כשירות המנוח לצוות, השפעה בלתי הוגנת מצד האשה או מעורבות פסולה מצדה בעריכת הצוואה</w:t>
      </w:r>
      <w:r w:rsidR="00A57C3B">
        <w:rPr>
          <w:rFonts w:ascii="David" w:hAnsi="David" w:hint="cs"/>
          <w:rtl/>
        </w:rPr>
        <w:t xml:space="preserve"> ומשכך מצאתי לדחות את התנגדותם למתן צו לקיומה של הצוואה.</w:t>
      </w:r>
      <w:r>
        <w:rPr>
          <w:rFonts w:ascii="David" w:hAnsi="David"/>
          <w:rtl/>
        </w:rPr>
        <w:t xml:space="preserve"> </w:t>
      </w:r>
    </w:p>
    <w:p w:rsidR="00065EDC" w:rsidRPr="00A57C3B" w:rsidRDefault="00065EDC" w:rsidP="00065EDC">
      <w:pPr>
        <w:pStyle w:val="ad"/>
        <w:bidi/>
        <w:spacing w:line="360" w:lineRule="auto"/>
        <w:ind w:left="567"/>
        <w:contextualSpacing w:val="0"/>
        <w:jc w:val="both"/>
        <w:rPr>
          <w:rFonts w:ascii="David" w:hAnsi="David"/>
          <w:sz w:val="16"/>
          <w:szCs w:val="16"/>
        </w:rPr>
      </w:pPr>
    </w:p>
    <w:p w:rsidR="00065EDC" w:rsidRDefault="00A57C3B" w:rsidP="00A57C3B">
      <w:pPr>
        <w:pStyle w:val="ad"/>
        <w:numPr>
          <w:ilvl w:val="0"/>
          <w:numId w:val="1"/>
        </w:numPr>
        <w:bidi/>
        <w:spacing w:line="360" w:lineRule="auto"/>
        <w:ind w:left="567" w:hanging="567"/>
        <w:contextualSpacing w:val="0"/>
        <w:jc w:val="both"/>
        <w:rPr>
          <w:rFonts w:ascii="David" w:hAnsi="David"/>
        </w:rPr>
      </w:pPr>
      <w:r>
        <w:rPr>
          <w:rFonts w:ascii="David" w:hAnsi="David" w:hint="cs"/>
          <w:rtl/>
        </w:rPr>
        <w:t xml:space="preserve">במאמר מוסגר אזכיר כי </w:t>
      </w:r>
      <w:r w:rsidR="00065EDC">
        <w:rPr>
          <w:rFonts w:ascii="David" w:hAnsi="David" w:hint="cs"/>
          <w:rtl/>
        </w:rPr>
        <w:t>בין הצדדים שבפני הליך נוסף בו עתרו המנוח (בחייו) והאשה לביטול הסכם מתנה שנערך בין המנוח לבין הילדים</w:t>
      </w:r>
      <w:r>
        <w:rPr>
          <w:rFonts w:ascii="David" w:hAnsi="David" w:hint="cs"/>
          <w:rtl/>
        </w:rPr>
        <w:t xml:space="preserve"> בשנת 2019, כשנתיים טרם פטירתו. תובענה זו טרם החלה להישמע ומטבע הדברים לממצאי פסק דין זה עשויות להיות משמעויות לשם בירור אותה תובענה, הכל בהתאם לדין. </w:t>
      </w:r>
    </w:p>
    <w:p w:rsidR="00065EDC" w:rsidRPr="00065EDC" w:rsidRDefault="00065EDC" w:rsidP="00065EDC">
      <w:pPr>
        <w:pStyle w:val="ad"/>
        <w:rPr>
          <w:rFonts w:ascii="David" w:hAnsi="David"/>
          <w:sz w:val="16"/>
          <w:szCs w:val="16"/>
        </w:rPr>
      </w:pPr>
    </w:p>
    <w:p w:rsidR="00065EDC" w:rsidRDefault="00631D0D" w:rsidP="00065EDC">
      <w:pPr>
        <w:pStyle w:val="ad"/>
        <w:numPr>
          <w:ilvl w:val="0"/>
          <w:numId w:val="1"/>
        </w:numPr>
        <w:bidi/>
        <w:spacing w:line="360" w:lineRule="auto"/>
        <w:ind w:left="567" w:hanging="567"/>
        <w:contextualSpacing w:val="0"/>
        <w:jc w:val="both"/>
        <w:rPr>
          <w:rFonts w:ascii="David" w:hAnsi="David"/>
        </w:rPr>
      </w:pPr>
      <w:r w:rsidRPr="00065EDC">
        <w:rPr>
          <w:rFonts w:ascii="David" w:hAnsi="David"/>
          <w:rtl/>
        </w:rPr>
        <w:t xml:space="preserve">באשר להוצאות ההליך; חרף כי האשה זכתה בדינה ולכאורה יש לפסוק לטובתה את הוצאות ההליך, אני בוחר שלא לעשות כן. לצערי הרב, התנהלותה הדיונית לא הייתה מיטבית ודי אם אזכיר את הצורך בהגשת חוו"ד חוזרת מטעם </w:t>
      </w:r>
      <w:r w:rsidR="000D2063" w:rsidRPr="00065EDC">
        <w:rPr>
          <w:rFonts w:ascii="David" w:hAnsi="David" w:hint="cs"/>
          <w:rtl/>
        </w:rPr>
        <w:t xml:space="preserve">המומחה </w:t>
      </w:r>
      <w:r w:rsidRPr="00065EDC">
        <w:rPr>
          <w:rFonts w:ascii="David" w:hAnsi="David"/>
          <w:rtl/>
        </w:rPr>
        <w:t>לאחר הגשת סיכומים (ר' סעי</w:t>
      </w:r>
      <w:r w:rsidR="00065EDC">
        <w:rPr>
          <w:rFonts w:ascii="David" w:hAnsi="David" w:hint="cs"/>
          <w:rtl/>
        </w:rPr>
        <w:t xml:space="preserve">פים 6-8 </w:t>
      </w:r>
      <w:r w:rsidRPr="00065EDC">
        <w:rPr>
          <w:rFonts w:ascii="David" w:hAnsi="David"/>
          <w:rtl/>
        </w:rPr>
        <w:t>לעיל), מה שהצריך את הגשתם בשנית והביא הן לסרבול והן לכילוי זמן ומשאבים.</w:t>
      </w:r>
      <w:r w:rsidR="006D5DC7">
        <w:rPr>
          <w:rFonts w:ascii="David" w:hAnsi="David" w:hint="cs"/>
          <w:rtl/>
        </w:rPr>
        <w:t xml:space="preserve"> עוד ובנוסף, נתתי דעתי גם להתנהלות האשה עובר לעריכת הצוואה ולעניינים נוספים שעלו מפסק דין זה כשיקול לאי פסיקת הוצאות.</w:t>
      </w:r>
    </w:p>
    <w:p w:rsidR="00065EDC" w:rsidRPr="00065EDC" w:rsidRDefault="00065EDC" w:rsidP="00065EDC">
      <w:pPr>
        <w:pStyle w:val="ad"/>
        <w:rPr>
          <w:rFonts w:ascii="David" w:hAnsi="David"/>
          <w:sz w:val="16"/>
          <w:szCs w:val="16"/>
          <w:rtl/>
        </w:rPr>
      </w:pPr>
    </w:p>
    <w:p w:rsidR="00631D0D" w:rsidRDefault="00631D0D" w:rsidP="00065EDC">
      <w:pPr>
        <w:pStyle w:val="ad"/>
        <w:numPr>
          <w:ilvl w:val="0"/>
          <w:numId w:val="1"/>
        </w:numPr>
        <w:bidi/>
        <w:spacing w:line="360" w:lineRule="auto"/>
        <w:ind w:left="567" w:hanging="567"/>
        <w:contextualSpacing w:val="0"/>
        <w:jc w:val="both"/>
        <w:rPr>
          <w:rFonts w:ascii="David" w:hAnsi="David"/>
        </w:rPr>
      </w:pPr>
      <w:r w:rsidRPr="00065EDC">
        <w:rPr>
          <w:rFonts w:ascii="David" w:hAnsi="David"/>
          <w:rtl/>
        </w:rPr>
        <w:t xml:space="preserve">אשר על כן, אינני </w:t>
      </w:r>
      <w:r w:rsidR="000D2063" w:rsidRPr="00065EDC">
        <w:rPr>
          <w:rFonts w:ascii="David" w:hAnsi="David" w:hint="cs"/>
          <w:rtl/>
        </w:rPr>
        <w:t xml:space="preserve">פוסק </w:t>
      </w:r>
      <w:r w:rsidRPr="00065EDC">
        <w:rPr>
          <w:rFonts w:ascii="David" w:hAnsi="David"/>
          <w:rtl/>
        </w:rPr>
        <w:t xml:space="preserve">הוצאות וכל צד יישא בהוצאותיו. </w:t>
      </w:r>
    </w:p>
    <w:p w:rsidR="00065EDC" w:rsidRPr="00065EDC" w:rsidRDefault="00065EDC" w:rsidP="00065EDC">
      <w:pPr>
        <w:pStyle w:val="ad"/>
        <w:rPr>
          <w:rFonts w:ascii="David" w:hAnsi="David"/>
          <w:rtl/>
        </w:rPr>
      </w:pPr>
    </w:p>
    <w:p w:rsidR="00065EDC" w:rsidRDefault="00065EDC" w:rsidP="00065EDC">
      <w:pPr>
        <w:pStyle w:val="ad"/>
        <w:bidi/>
        <w:spacing w:line="360" w:lineRule="auto"/>
        <w:ind w:left="567"/>
        <w:contextualSpacing w:val="0"/>
        <w:jc w:val="both"/>
        <w:rPr>
          <w:rFonts w:ascii="David" w:hAnsi="David"/>
          <w:rtl/>
        </w:rPr>
      </w:pPr>
    </w:p>
    <w:p w:rsidR="00065EDC" w:rsidRPr="00065EDC" w:rsidRDefault="00065EDC" w:rsidP="00065EDC">
      <w:pPr>
        <w:pStyle w:val="ad"/>
        <w:rPr>
          <w:rFonts w:ascii="David" w:hAnsi="David"/>
          <w:sz w:val="16"/>
          <w:szCs w:val="16"/>
          <w:rtl/>
        </w:rPr>
      </w:pPr>
    </w:p>
    <w:p w:rsidR="00631D0D" w:rsidRDefault="00631D0D" w:rsidP="00065EDC">
      <w:pPr>
        <w:pStyle w:val="ad"/>
        <w:numPr>
          <w:ilvl w:val="0"/>
          <w:numId w:val="1"/>
        </w:numPr>
        <w:bidi/>
        <w:spacing w:line="360" w:lineRule="auto"/>
        <w:ind w:left="567" w:hanging="567"/>
        <w:contextualSpacing w:val="0"/>
        <w:jc w:val="both"/>
        <w:rPr>
          <w:rFonts w:ascii="David" w:hAnsi="David"/>
        </w:rPr>
      </w:pPr>
      <w:r w:rsidRPr="00065EDC">
        <w:rPr>
          <w:rFonts w:ascii="David" w:hAnsi="David"/>
          <w:rtl/>
        </w:rPr>
        <w:t>אשר על כן ומכל המקובץ, הריני להורות:</w:t>
      </w:r>
    </w:p>
    <w:p w:rsidR="00065EDC" w:rsidRPr="00065EDC" w:rsidRDefault="00065EDC" w:rsidP="00065EDC">
      <w:pPr>
        <w:pStyle w:val="ad"/>
        <w:bidi/>
        <w:spacing w:line="360" w:lineRule="auto"/>
        <w:ind w:left="567"/>
        <w:contextualSpacing w:val="0"/>
        <w:jc w:val="both"/>
        <w:rPr>
          <w:rFonts w:ascii="David" w:hAnsi="David"/>
          <w:sz w:val="16"/>
          <w:szCs w:val="16"/>
        </w:rPr>
      </w:pPr>
    </w:p>
    <w:p w:rsidR="00631D0D" w:rsidRDefault="00631D0D" w:rsidP="00D340D1">
      <w:pPr>
        <w:pStyle w:val="ad"/>
        <w:numPr>
          <w:ilvl w:val="0"/>
          <w:numId w:val="9"/>
        </w:numPr>
        <w:bidi/>
        <w:spacing w:line="360" w:lineRule="auto"/>
        <w:ind w:left="1077" w:hanging="357"/>
        <w:contextualSpacing w:val="0"/>
        <w:jc w:val="both"/>
        <w:rPr>
          <w:rFonts w:ascii="David" w:hAnsi="David"/>
        </w:rPr>
      </w:pPr>
      <w:r>
        <w:rPr>
          <w:rFonts w:ascii="David" w:hAnsi="David"/>
          <w:rtl/>
        </w:rPr>
        <w:t>ההתנגדות נדחית וכפועל יוצא, ניתן צו לקיום צוואתו של המנוח. לא מונה מנהל עיזבון.</w:t>
      </w:r>
    </w:p>
    <w:p w:rsidR="00631D0D" w:rsidRDefault="00631D0D" w:rsidP="00D340D1">
      <w:pPr>
        <w:pStyle w:val="ad"/>
        <w:numPr>
          <w:ilvl w:val="0"/>
          <w:numId w:val="9"/>
        </w:numPr>
        <w:bidi/>
        <w:spacing w:line="360" w:lineRule="auto"/>
        <w:ind w:left="1077" w:hanging="357"/>
        <w:contextualSpacing w:val="0"/>
        <w:jc w:val="both"/>
        <w:rPr>
          <w:rFonts w:ascii="David" w:hAnsi="David"/>
        </w:rPr>
      </w:pPr>
      <w:r>
        <w:rPr>
          <w:rFonts w:ascii="David" w:hAnsi="David"/>
          <w:rtl/>
        </w:rPr>
        <w:t>אין צו להוצאות</w:t>
      </w:r>
      <w:r w:rsidR="006D5DC7">
        <w:rPr>
          <w:rFonts w:ascii="David" w:hAnsi="David" w:hint="cs"/>
          <w:rtl/>
        </w:rPr>
        <w:t xml:space="preserve"> וכל צד יישא בהוצאותיו</w:t>
      </w:r>
      <w:r>
        <w:rPr>
          <w:rFonts w:ascii="David" w:hAnsi="David"/>
          <w:rtl/>
        </w:rPr>
        <w:t>.</w:t>
      </w:r>
    </w:p>
    <w:p w:rsidR="006D5DC7" w:rsidRDefault="006D5DC7" w:rsidP="006D5DC7">
      <w:pPr>
        <w:pStyle w:val="ad"/>
        <w:numPr>
          <w:ilvl w:val="0"/>
          <w:numId w:val="9"/>
        </w:numPr>
        <w:bidi/>
        <w:spacing w:line="360" w:lineRule="auto"/>
        <w:ind w:left="1077" w:hanging="357"/>
        <w:contextualSpacing w:val="0"/>
        <w:jc w:val="both"/>
        <w:rPr>
          <w:rFonts w:ascii="David" w:hAnsi="David"/>
        </w:rPr>
      </w:pPr>
      <w:r>
        <w:rPr>
          <w:rFonts w:ascii="David" w:hAnsi="David" w:hint="cs"/>
          <w:rtl/>
        </w:rPr>
        <w:t>הוראות באשר להמשך בירור התובענה הנוספת תינתנה במסגרת אותה התובענה.</w:t>
      </w:r>
    </w:p>
    <w:p w:rsidR="00631D0D" w:rsidRDefault="00631D0D" w:rsidP="00D340D1">
      <w:pPr>
        <w:pStyle w:val="ad"/>
        <w:numPr>
          <w:ilvl w:val="0"/>
          <w:numId w:val="9"/>
        </w:numPr>
        <w:bidi/>
        <w:spacing w:line="360" w:lineRule="auto"/>
        <w:ind w:left="1077" w:hanging="357"/>
        <w:contextualSpacing w:val="0"/>
        <w:jc w:val="both"/>
        <w:rPr>
          <w:rFonts w:ascii="David" w:hAnsi="David"/>
        </w:rPr>
      </w:pPr>
      <w:r>
        <w:rPr>
          <w:rFonts w:ascii="David" w:hAnsi="David"/>
          <w:rtl/>
        </w:rPr>
        <w:t>פסק הדין מותר בפרסום בהשמטת פרטים מזהים.</w:t>
      </w:r>
    </w:p>
    <w:p w:rsidR="00631D0D" w:rsidRDefault="00631D0D" w:rsidP="00D340D1">
      <w:pPr>
        <w:pStyle w:val="ad"/>
        <w:numPr>
          <w:ilvl w:val="0"/>
          <w:numId w:val="9"/>
        </w:numPr>
        <w:bidi/>
        <w:spacing w:line="360" w:lineRule="auto"/>
        <w:ind w:left="1077" w:hanging="357"/>
        <w:contextualSpacing w:val="0"/>
        <w:jc w:val="both"/>
        <w:rPr>
          <w:rFonts w:ascii="David" w:hAnsi="David"/>
        </w:rPr>
      </w:pPr>
      <w:r>
        <w:rPr>
          <w:rFonts w:ascii="David" w:hAnsi="David"/>
          <w:rtl/>
        </w:rPr>
        <w:t>התיק ייסגר.</w:t>
      </w:r>
    </w:p>
    <w:p w:rsidR="002914D6" w:rsidRDefault="002914D6" w:rsidP="00D340D1">
      <w:pPr>
        <w:spacing w:line="360" w:lineRule="auto"/>
        <w:jc w:val="both"/>
        <w:rPr>
          <w:rFonts w:ascii="Arial" w:hAnsi="Arial"/>
          <w:noProof w:val="0"/>
          <w:rtl/>
        </w:rPr>
      </w:pPr>
    </w:p>
    <w:p w:rsidR="002914D6" w:rsidRDefault="002914D6" w:rsidP="00D340D1">
      <w:pPr>
        <w:spacing w:line="360" w:lineRule="auto"/>
        <w:jc w:val="center"/>
        <w:rPr>
          <w:rFonts w:ascii="Arial" w:hAnsi="Arial"/>
          <w:noProof w:val="0"/>
          <w:rtl/>
        </w:rPr>
      </w:pPr>
    </w:p>
    <w:p w:rsidR="002914D6" w:rsidRDefault="00011212" w:rsidP="00D340D1">
      <w:pPr>
        <w:spacing w:line="360" w:lineRule="auto"/>
        <w:jc w:val="right"/>
        <w:rPr>
          <w:rFonts w:ascii="Arial" w:hAnsi="Arial"/>
          <w:noProof w:val="0"/>
        </w:rPr>
      </w:pPr>
      <w:r>
        <w:rPr>
          <w:rFonts w:ascii="Arial" w:hAnsi="Arial"/>
          <w:noProof w:val="0"/>
          <w:rtl/>
        </w:rPr>
        <w:t xml:space="preserve">ניתן היום,  </w:t>
      </w:r>
      <w:sdt>
        <w:sdtPr>
          <w:alias w:val="1455"/>
          <w:tag w:val="1455"/>
          <w:id w:val="-1784405537"/>
          <w:text w:multiLine="1"/>
        </w:sdtPr>
        <w:sdtEndPr/>
        <w:sdtContent>
          <w:r>
            <w:rPr>
              <w:rFonts w:ascii="Arial" w:hAnsi="Arial"/>
              <w:noProof w:val="0"/>
              <w:rtl/>
            </w:rPr>
            <w:t>י"ז סיוון תשפ"ד</w:t>
          </w:r>
        </w:sdtContent>
      </w:sdt>
      <w:r>
        <w:rPr>
          <w:rFonts w:ascii="Arial" w:hAnsi="Arial"/>
          <w:noProof w:val="0"/>
          <w:rtl/>
        </w:rPr>
        <w:t xml:space="preserve">, </w:t>
      </w:r>
      <w:sdt>
        <w:sdtPr>
          <w:alias w:val="1456"/>
          <w:tag w:val="1456"/>
          <w:id w:val="-1133865600"/>
          <w:text w:multiLine="1"/>
        </w:sdtPr>
        <w:sdtEndPr/>
        <w:sdtContent>
          <w:r>
            <w:rPr>
              <w:rFonts w:ascii="Arial" w:hAnsi="Arial"/>
              <w:noProof w:val="0"/>
              <w:rtl/>
            </w:rPr>
            <w:t>23 יוני 2024</w:t>
          </w:r>
        </w:sdtContent>
      </w:sdt>
      <w:r>
        <w:rPr>
          <w:rFonts w:ascii="Arial" w:hAnsi="Arial"/>
          <w:noProof w:val="0"/>
          <w:rtl/>
        </w:rPr>
        <w:t>, בהעדר הצדדים.</w:t>
      </w:r>
      <w:r w:rsidR="008C4E4B">
        <w:rPr>
          <w:rFonts w:ascii="Arial" w:hAnsi="Arial"/>
          <w:noProof w:val="0"/>
        </w:rPr>
        <w:tab/>
      </w:r>
    </w:p>
    <w:p w:rsidR="002914D6" w:rsidRDefault="002914D6" w:rsidP="00D340D1">
      <w:pPr>
        <w:spacing w:line="360" w:lineRule="auto"/>
        <w:jc w:val="right"/>
        <w:rPr>
          <w:rFonts w:ascii="Arial" w:hAnsi="Arial"/>
          <w:noProof w:val="0"/>
          <w:rtl/>
        </w:rPr>
      </w:pPr>
    </w:p>
    <w:p w:rsidR="002914D6" w:rsidRDefault="009C5A3D" w:rsidP="000A1F4B">
      <w:pPr>
        <w:bidi/>
        <w:spacing w:line="360" w:lineRule="auto"/>
        <w:ind w:left="709" w:right="708" w:firstLine="992"/>
        <w:jc w:val="right"/>
      </w:pPr>
      <w:sdt>
        <w:sdtPr>
          <w:rPr>
            <w:rtl/>
          </w:rPr>
          <w:alias w:val="MergeField"/>
          <w:tag w:val="1237"/>
          <w:id w:val="-1333443146"/>
        </w:sdtPr>
        <w:sdtEndPr/>
        <w:sdtContent>
          <w:r w:rsidR="00B26720">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809875" cy="838200"/>
                        </a:xfrm>
                        <a:prstGeom prst="rect">
                          <a:avLst/>
                        </a:prstGeom>
                      </pic:spPr>
                    </pic:pic>
                  </a:graphicData>
                </a:graphic>
              </wp:inline>
            </w:drawing>
          </w:r>
        </w:sdtContent>
      </w:sdt>
    </w:p>
    <w:p w:rsidR="002914D6" w:rsidRDefault="002914D6" w:rsidP="00D340D1">
      <w:pPr>
        <w:spacing w:line="360" w:lineRule="auto"/>
        <w:ind w:left="3600" w:right="708" w:firstLine="720"/>
        <w:jc w:val="right"/>
        <w:rPr>
          <w:rFonts w:ascii="Arial" w:hAnsi="Arial"/>
          <w:noProof w:val="0"/>
          <w:rtl/>
        </w:rPr>
      </w:pPr>
    </w:p>
    <w:p w:rsidR="002914D6" w:rsidRDefault="002914D6" w:rsidP="00D340D1">
      <w:pPr>
        <w:spacing w:line="360" w:lineRule="auto"/>
        <w:jc w:val="both"/>
        <w:rPr>
          <w:rFonts w:ascii="Arial" w:hAnsi="Arial"/>
          <w:noProof w:val="0"/>
          <w:rtl/>
        </w:rPr>
      </w:pPr>
    </w:p>
    <w:p w:rsidR="002914D6" w:rsidRDefault="002914D6" w:rsidP="00D340D1">
      <w:pPr>
        <w:spacing w:line="360" w:lineRule="auto"/>
        <w:jc w:val="both"/>
        <w:rPr>
          <w:rFonts w:ascii="Arial" w:hAnsi="Arial"/>
          <w:noProof w:val="0"/>
          <w:rtl/>
        </w:rPr>
      </w:pPr>
    </w:p>
    <w:p w:rsidR="002914D6" w:rsidRDefault="002914D6" w:rsidP="00D340D1">
      <w:pPr>
        <w:spacing w:line="360" w:lineRule="auto"/>
        <w:jc w:val="both"/>
        <w:rPr>
          <w:rFonts w:ascii="Arial" w:hAnsi="Arial"/>
          <w:noProof w:val="0"/>
          <w:rtl/>
        </w:rPr>
      </w:pPr>
    </w:p>
    <w:p w:rsidR="002914D6" w:rsidRDefault="002914D6" w:rsidP="00D340D1">
      <w:pPr>
        <w:spacing w:line="360" w:lineRule="auto"/>
        <w:jc w:val="both"/>
        <w:rPr>
          <w:rFonts w:ascii="Arial" w:hAnsi="Arial"/>
          <w:noProof w:val="0"/>
          <w:rtl/>
        </w:rPr>
      </w:pPr>
    </w:p>
    <w:p w:rsidR="002914D6" w:rsidRDefault="002914D6" w:rsidP="00D340D1">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A3D" w:rsidRDefault="009C5A3D">
      <w:r>
        <w:separator/>
      </w:r>
    </w:p>
  </w:endnote>
  <w:endnote w:type="continuationSeparator" w:id="0">
    <w:p w:rsidR="009C5A3D" w:rsidRDefault="009C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6AF" w:rsidRDefault="007216A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2394C">
      <w:rPr>
        <w:rStyle w:val="ab"/>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2394C">
      <w:rPr>
        <w:rStyle w:val="ab"/>
      </w:rPr>
      <w:t>14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6AF" w:rsidRDefault="007216A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A3D" w:rsidRDefault="009C5A3D">
      <w:r>
        <w:separator/>
      </w:r>
    </w:p>
  </w:footnote>
  <w:footnote w:type="continuationSeparator" w:id="0">
    <w:p w:rsidR="009C5A3D" w:rsidRDefault="009C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6AF" w:rsidRDefault="007216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D340D1">
      <w:trPr>
        <w:trHeight w:hRule="exact" w:val="418"/>
        <w:jc w:val="center"/>
      </w:trPr>
      <w:sdt>
        <w:sdt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D340D1">
      <w:trPr>
        <w:trHeight w:val="337"/>
        <w:jc w:val="center"/>
      </w:trPr>
      <w:tc>
        <w:tcPr>
          <w:tcW w:w="8505" w:type="dxa"/>
        </w:tcPr>
        <w:p w:rsidR="002914D6" w:rsidRPr="00D340D1" w:rsidRDefault="009C5A3D" w:rsidP="000A1F4B">
          <w:pPr>
            <w:bidi/>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50966-06-21</w:t>
              </w:r>
            </w:sdtContent>
          </w:sdt>
          <w:r w:rsidR="00011212">
            <w:rPr>
              <w:b/>
              <w:bCs/>
              <w:noProof w:val="0"/>
              <w:sz w:val="26"/>
              <w:szCs w:val="26"/>
              <w:rtl/>
            </w:rPr>
            <w:t xml:space="preserve"> </w:t>
          </w:r>
          <w:sdt>
            <w:sdtPr>
              <w:rPr>
                <w:rtl/>
              </w:rPr>
              <w:alias w:val="1172"/>
              <w:tag w:val="1172"/>
              <w:id w:val="-673653942"/>
              <w:text w:multiLine="1"/>
            </w:sdtPr>
            <w:sdtEndPr/>
            <w:sdtContent>
              <w:r w:rsidR="000A1F4B">
                <w:rPr>
                  <w:rFonts w:hint="cs"/>
                  <w:b/>
                  <w:bCs/>
                  <w:noProof w:val="0"/>
                  <w:sz w:val="26"/>
                  <w:szCs w:val="26"/>
                  <w:rtl/>
                </w:rPr>
                <w:t>פלונית נ' אלמונית ואח'</w:t>
              </w:r>
            </w:sdtContent>
          </w:sdt>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6AF" w:rsidRDefault="007216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675E"/>
    <w:multiLevelType w:val="hybridMultilevel"/>
    <w:tmpl w:val="D82C9120"/>
    <w:lvl w:ilvl="0" w:tplc="FEA0E024">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8765932"/>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D8A11D7"/>
    <w:multiLevelType w:val="hybridMultilevel"/>
    <w:tmpl w:val="9224042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05F1B64"/>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1C21BAB"/>
    <w:multiLevelType w:val="hybridMultilevel"/>
    <w:tmpl w:val="9224042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7811FC2"/>
    <w:multiLevelType w:val="hybridMultilevel"/>
    <w:tmpl w:val="9224042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692D21ED"/>
    <w:multiLevelType w:val="hybridMultilevel"/>
    <w:tmpl w:val="6106A8F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72044ECD"/>
    <w:multiLevelType w:val="hybridMultilevel"/>
    <w:tmpl w:val="92240422"/>
    <w:lvl w:ilvl="0" w:tplc="253E1A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75C13F7C"/>
    <w:multiLevelType w:val="hybridMultilevel"/>
    <w:tmpl w:val="506A56EA"/>
    <w:lvl w:ilvl="0" w:tplc="231C5BCC">
      <w:start w:val="1"/>
      <w:numFmt w:val="decimal"/>
      <w:lvlText w:val="%1."/>
      <w:lvlJc w:val="left"/>
      <w:pPr>
        <w:ind w:left="720" w:hanging="360"/>
      </w:pPr>
      <w:rPr>
        <w:b w:val="0"/>
        <w:bCs w:val="0"/>
        <w:sz w:val="24"/>
        <w:szCs w:val="24"/>
      </w:rPr>
    </w:lvl>
    <w:lvl w:ilvl="1" w:tplc="04090013">
      <w:start w:val="1"/>
      <w:numFmt w:val="hebrew1"/>
      <w:lvlText w:val="%2."/>
      <w:lvlJc w:val="center"/>
      <w:pPr>
        <w:ind w:left="1440" w:hanging="360"/>
      </w:pPr>
    </w:lvl>
    <w:lvl w:ilvl="2" w:tplc="931AE2F4">
      <w:start w:val="1"/>
      <w:numFmt w:val="lowerRoman"/>
      <w:lvlText w:val="%3."/>
      <w:lvlJc w:val="right"/>
      <w:pPr>
        <w:ind w:left="2160" w:hanging="180"/>
      </w:pPr>
    </w:lvl>
    <w:lvl w:ilvl="3" w:tplc="42D684E2">
      <w:start w:val="1"/>
      <w:numFmt w:val="decimal"/>
      <w:lvlText w:val="%4."/>
      <w:lvlJc w:val="left"/>
      <w:pPr>
        <w:ind w:left="2880" w:hanging="360"/>
      </w:pPr>
    </w:lvl>
    <w:lvl w:ilvl="4" w:tplc="7244F42C">
      <w:start w:val="1"/>
      <w:numFmt w:val="lowerLetter"/>
      <w:lvlText w:val="%5."/>
      <w:lvlJc w:val="left"/>
      <w:pPr>
        <w:ind w:left="3600" w:hanging="360"/>
      </w:pPr>
    </w:lvl>
    <w:lvl w:ilvl="5" w:tplc="D818B8EA">
      <w:start w:val="1"/>
      <w:numFmt w:val="lowerRoman"/>
      <w:lvlText w:val="%6."/>
      <w:lvlJc w:val="right"/>
      <w:pPr>
        <w:ind w:left="4320" w:hanging="180"/>
      </w:pPr>
    </w:lvl>
    <w:lvl w:ilvl="6" w:tplc="73864D82">
      <w:start w:val="1"/>
      <w:numFmt w:val="decimal"/>
      <w:lvlText w:val="%7."/>
      <w:lvlJc w:val="left"/>
      <w:pPr>
        <w:ind w:left="5040" w:hanging="360"/>
      </w:pPr>
    </w:lvl>
    <w:lvl w:ilvl="7" w:tplc="EE969738">
      <w:start w:val="1"/>
      <w:numFmt w:val="lowerLetter"/>
      <w:lvlText w:val="%8."/>
      <w:lvlJc w:val="left"/>
      <w:pPr>
        <w:ind w:left="5760" w:hanging="360"/>
      </w:pPr>
    </w:lvl>
    <w:lvl w:ilvl="8" w:tplc="B37083F6">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364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36410&amp;lt;/CaseID&amp;gt;_x000d__x000a_        &amp;lt;CaseMonth&amp;gt;6&amp;lt;/CaseMonth&amp;gt;_x000d__x000a_        &amp;lt;CaseYear&amp;gt;2021&amp;lt;/CaseYear&amp;gt;_x000d__x000a_        &amp;lt;CaseNumber&amp;gt;50966&amp;lt;/CaseNumber&amp;gt;_x000d__x000a_        &amp;lt;NumeratorGroupID&amp;gt;1&amp;lt;/NumeratorGroupID&amp;gt;_x000d__x000a_        &amp;lt;CaseName&amp;gt;קונונקו נ&amp;#39; האפוטרופוס הכללי במחוז תל-אביב ואח&amp;#39;&amp;lt;/CaseName&amp;gt;_x000d__x000a_        &amp;lt;CourtID&amp;gt;33&amp;lt;/CourtID&amp;gt;_x000d__x000a_        &amp;lt;CaseTypeID&amp;gt;86&amp;lt;/CaseTypeID&amp;gt;_x000d__x000a_        &amp;lt;CaseInterestID&amp;gt;1029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66-06-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6-22T07:00: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תקבל דיסן און קי, נבדק והושם בתא השופט.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36410&amp;lt;/CaseID&amp;gt;_x000d__x000a_        &amp;lt;CaseMonth&amp;gt;6&amp;lt;/CaseMonth&amp;gt;_x000d__x000a_        &amp;lt;CaseYear&amp;gt;2021&amp;lt;/CaseYear&amp;gt;_x000d__x000a_        &amp;lt;CaseNumber&amp;gt;50966&amp;lt;/CaseNumber&amp;gt;_x000d__x000a_        &amp;lt;NumeratorGroupID&amp;gt;1&amp;lt;/NumeratorGroupID&amp;gt;_x000d__x000a_        &amp;lt;CaseName&amp;gt;קונונקו נ&amp;#39; האפוטרופוס הכללי במחוז תל-אביב ואח&amp;#39;&amp;lt;/CaseName&amp;gt;_x000d__x000a_        &amp;lt;CourtID&amp;gt;33&amp;lt;/CourtID&amp;gt;_x000d__x000a_        &amp;lt;CaseTypeID&amp;gt;86&amp;lt;/CaseTypeID&amp;gt;_x000d__x000a_        &amp;lt;CaseInterestID&amp;gt;1029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966-06-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6-22T07:00: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תקבל דיסן און קי, נבדק והושם בתא השופט.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44174&amp;lt;/DecisionID&amp;gt;_x000d__x000a_        &amp;lt;DecisionName&amp;gt;פסק דין  שניתנה ע&amp;quot;י  יהורם שקד&amp;lt;/DecisionName&amp;gt;_x000d__x000a_        &amp;lt;DecisionStatusID&amp;gt;1&amp;lt;/DecisionStatusID&amp;gt;_x000d__x000a_        &amp;lt;DecisionStatusChangeDate&amp;gt;2024-06-19T16:22:34.573+03:00&amp;lt;/DecisionStatusChangeDate&amp;gt;_x000d__x000a_        &amp;lt;DecisionSignatureDate&amp;gt;2024-06-19T15:38:42.173+03:00&amp;lt;/DecisionSignatureDate&amp;gt;_x000d__x000a_        &amp;lt;DecisionSignatureUserID&amp;gt;024693871@GOV.IL&amp;lt;/DecisionSignatureUserID&amp;gt;_x000d__x000a_        &amp;lt;DecisionCreateDate&amp;gt;2024-06-19T14:24:05.69+03:00&amp;lt;/DecisionCreateDate&amp;gt;_x000d__x000a_        &amp;lt;DecisionChangeDate&amp;gt;2024-06-19T16:22:34.81+03: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33146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549878@GOV.IL&amp;lt;/DecisionCreationUserID&amp;gt;_x000d__x000a_        &amp;lt;DecisionDisplayName&amp;gt;פסק דין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2344174&amp;lt;/DecisionID&amp;gt;_x000d__x000a_        &amp;lt;CaseID&amp;gt;78436410&amp;lt;/CaseID&amp;gt;_x000d__x000a_        &amp;lt;IsOriginal&amp;gt;true&amp;lt;/IsOriginal&amp;gt;_x000d__x000a_        &amp;lt;IsDeleted&amp;gt;false&amp;lt;/IsDeleted&amp;gt;_x000d__x000a_        &amp;lt;CaseName&amp;gt;קונונקו נ&amp;#39; האפוטרופוס הכללי במחוז תל-אביב ואח&amp;#39;&amp;lt;/CaseName&amp;gt;_x000d__x000a_        &amp;lt;CaseDisplayIdentifier&amp;gt;50966-06-21 ת&amp;quot;ע&amp;lt;/CaseDisplayIdentifier&amp;gt;_x000d__x000a_      &amp;lt;/dt_DecisionCase&amp;gt;_x000d__x000a_    &amp;lt;/DecisionDS&amp;gt;_x000d__x000a_  &amp;lt;/diffgr:diffgram&amp;gt;_x000d__x000a_&amp;lt;/DecisionDS&amp;gt;"/>
    <w:docVar w:name="DecisionID" w:val="152344174"/>
    <w:docVar w:name="WordClientAssemblyName" w:val="NGCS.Decision.ClientWordBL"/>
    <w:docVar w:name="WordClientClassName" w:val="NGCS.Decision.ClientWordBL.DecisionClient"/>
  </w:docVars>
  <w:rsids>
    <w:rsidRoot w:val="002914D6"/>
    <w:rsid w:val="00011212"/>
    <w:rsid w:val="00065EDC"/>
    <w:rsid w:val="00070806"/>
    <w:rsid w:val="00072E94"/>
    <w:rsid w:val="000842FD"/>
    <w:rsid w:val="000A1F4B"/>
    <w:rsid w:val="000D2063"/>
    <w:rsid w:val="00170B52"/>
    <w:rsid w:val="001B6D2F"/>
    <w:rsid w:val="001C55B5"/>
    <w:rsid w:val="001C5F70"/>
    <w:rsid w:val="00265648"/>
    <w:rsid w:val="002914D6"/>
    <w:rsid w:val="002F5307"/>
    <w:rsid w:val="00376342"/>
    <w:rsid w:val="00383D0C"/>
    <w:rsid w:val="003D21FD"/>
    <w:rsid w:val="0043281C"/>
    <w:rsid w:val="00481A4A"/>
    <w:rsid w:val="004C512F"/>
    <w:rsid w:val="004E64FB"/>
    <w:rsid w:val="00534802"/>
    <w:rsid w:val="00592866"/>
    <w:rsid w:val="00631D0D"/>
    <w:rsid w:val="00666802"/>
    <w:rsid w:val="006A40C8"/>
    <w:rsid w:val="006C4051"/>
    <w:rsid w:val="006D5DC7"/>
    <w:rsid w:val="007216AF"/>
    <w:rsid w:val="007B516F"/>
    <w:rsid w:val="007C1077"/>
    <w:rsid w:val="007C6BD7"/>
    <w:rsid w:val="007E371D"/>
    <w:rsid w:val="008060A3"/>
    <w:rsid w:val="00822AA5"/>
    <w:rsid w:val="008C4E4B"/>
    <w:rsid w:val="0090566B"/>
    <w:rsid w:val="0091072C"/>
    <w:rsid w:val="009108D7"/>
    <w:rsid w:val="00955324"/>
    <w:rsid w:val="009A513E"/>
    <w:rsid w:val="009C5A3D"/>
    <w:rsid w:val="00A01D95"/>
    <w:rsid w:val="00A2394C"/>
    <w:rsid w:val="00A57C3B"/>
    <w:rsid w:val="00AA6962"/>
    <w:rsid w:val="00AA6CC6"/>
    <w:rsid w:val="00B100EF"/>
    <w:rsid w:val="00B26720"/>
    <w:rsid w:val="00B611D6"/>
    <w:rsid w:val="00B82522"/>
    <w:rsid w:val="00B82A07"/>
    <w:rsid w:val="00B8357B"/>
    <w:rsid w:val="00BA0018"/>
    <w:rsid w:val="00BD18F5"/>
    <w:rsid w:val="00BD5B6B"/>
    <w:rsid w:val="00C15857"/>
    <w:rsid w:val="00C22376"/>
    <w:rsid w:val="00C40239"/>
    <w:rsid w:val="00C931BD"/>
    <w:rsid w:val="00D340D1"/>
    <w:rsid w:val="00D358FE"/>
    <w:rsid w:val="00D54B3A"/>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D10416-0125-4F04-A050-F904CCCA6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631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07700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862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0307B8"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307B8"/>
    <w:rsid w:val="006D467C"/>
    <w:rsid w:val="007F5BD4"/>
    <w:rsid w:val="0090475C"/>
    <w:rsid w:val="00A32E59"/>
    <w:rsid w:val="00A8007B"/>
    <w:rsid w:val="00B6614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אליעזר פלדינגר</FullName>
        <FirstName>אליעזר</FirstName>
        <LastName>פלדינגר</LastName>
        <PartyPropertyName/>
        <AuthenticationTypeAndNumber>ת"ז 067437830</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237475915</CasePartyID>
        <PartyTypeID>5</PartyTypeID>
        <ActivityStatusID>1</ActivityStatusID>
        <PartyAliasID>102</PartyAliasID>
        <PartyAliasName>מומחה בית משפט</PartyAliasName>
        <LegalEntityID>71174565</LegalEntityID>
        <CaseLegalEntityID>118697286</CaseLegalEntityID>
        <AuthenticationTypeID>1</AuthenticationTypeID>
        <AuthenticationTypeName>ת"ז</AuthenticationTypeName>
        <LegalEntityNumber>067437830</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קשאני 3 תל אביב -יפו </FullAddress>
        <EmailAddress>Lfledinger@walla.com</EmailAddress>
        <MotionID>0</MotionID>
        <CasePleaID>0</CasePleaID>
        <LinkedCaseID>0</LinkedCaseID>
        <CasePartyCategoryID>1</CasePartyCategoryID>
        <LegalEntityAddressID>72715331</LegalEntityAddressID>
        <LegalEntityEmailAddressID>68120530</LegalEntityEmailAddressID>
        <PleaTypeID>5</PleaTypeID>
        <GroupPartyAlias/>
        <IsConverted>false</IsConverted>
        <LegalEntityNameID>74139759</LegalEntityNameID>
        <RepresentatedNamesOfAssistant/>
        <LegalEntityTypeID>6</LegalEntityTypeID>
        <IsVerdictExists>false</IsVerdictExists>
        <IsAsirAzir>false</IsAsirAzir>
        <IsPublicationProhibited>false</IsPublicationProhibited>
        <PublicationProhibitedFullName>אליעזר פלדינגר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זיו</FullName>
        <FirstName>יעקב</FirstName>
        <LastName>זיו</LastName>
        <PartyPropertyName/>
        <AuthenticationTypeAndNumber>מ.ר. 42591</AuthenticationTypeAndNumber>
        <RepresentatedOrRepresentativesNames>נטליה קונונקו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238724903</CasePartyID>
        <PartyTypeID>2</PartyTypeID>
        <ActivityStatusID>1</ActivityStatusID>
        <PartyAliasID>22</PartyAliasID>
        <PartyAliasName>בא כוח מבקשים</PartyAliasName>
        <LegalEntityID>2468723</LegalEntityID>
        <CaseLegalEntityID>119069501</CaseLegalEntityID>
        <AuthenticationTypeID>4</AuthenticationTypeID>
        <AuthenticationTypeName>מ.ר.</AuthenticationTypeName>
        <LegalEntityNumber>42591</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נחלת יצחק 8 רמת גן </FullAddress>
        <MotionID>0</MotionID>
        <CasePleaID>0</CasePleaID>
        <LinkedCaseID>0</LinkedCaseID>
        <PartyID>1</PartyID>
        <CasePartyCategoryID>2</CasePartyCategoryID>
        <LegalEntityAddressID>78201491</LegalEntityAddressID>
        <PleaTypeID>5</PleaTypeID>
        <LawyerOfficeName>משרד עו"ד רונן אשרי</LawyerOfficeName>
        <LawyerOfficeID>2468728</LawyerOfficeID>
        <GroupPartyAlias/>
        <IsConverted>false</IsConverted>
        <LegalEntityNameID>2098969</LegalEntityNameID>
        <RepresentatedNamesOfAssistant/>
        <LegalEntityTypeID>4</LegalEntityTypeID>
        <IsVerdictExists>false</IsVerdictExists>
        <IsAsirAzir>false</IsAsirAzir>
        <IsPublicationProhibited>false</IsPublicationProhibited>
        <PublicationProhibitedFullName>יעקב זיו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רומי קנבל</FullName>
        <FirstName>רומי</FirstName>
        <LastName>קנבל</LastName>
        <PartyPropertyName/>
        <AuthenticationTypeAndNumber>מ.ר. 23729</AuthenticationTypeAndNumber>
        <RepresentatedOrRepresentativesNames>תומר שלו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228269169</CasePartyID>
        <PartyTypeID>2</PartyTypeID>
        <ActivityStatusID>1</ActivityStatusID>
        <PartyAliasID>23</PartyAliasID>
        <PartyAliasName>בא כוח משיבים</PartyAliasName>
        <LegalEntityID>399741</LegalEntityID>
        <CaseLegalEntityID>115843241</CaseLegalEntityID>
        <AuthenticationTypeID>4</AuthenticationTypeID>
        <AuthenticationTypeName>מ.ר.</AuthenticationTypeName>
        <LegalEntityNumber>23729</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
        <EmailAddress>liat@knebel-adv.com</EmailAddress>
        <MotionID>0</MotionID>
        <CasePleaID>0</CasePleaID>
        <FatherName xml:space="preserve">        </FatherName>
        <LinkedCaseID>0</LinkedCaseID>
        <PartyID>2</PartyID>
        <CasePartyCategoryID>2</CasePartyCategoryID>
        <LegalEntityEmailAddressID>68371733</LegalEntityEmailAddressID>
        <PleaTypeID>5</PleaTypeID>
        <LawyerOfficeName>משרד עו"ד:קנבל ושות'</LawyerOfficeName>
        <LawyerOfficeID>428432</LawyerOfficeID>
        <GroupPartyAlias/>
        <IsConverted>false</IsConverted>
        <LegalEntityNameID>20725</LegalEntityNameID>
        <RepresentatedNamesOfAssistant/>
        <LegalEntityTypeID>4</LegalEntityTypeID>
        <IsVerdictExists>false</IsVerdictExists>
        <IsAsirAzir>false</IsAsirAzir>
        <IsPublicationProhibited>false</IsPublicationProhibited>
        <PublicationProhibitedFullName>רומי קנבל</PublicationProhibitedFullName>
      </CaseParties>
      <CaseParties>
        <PartyTypeName>עד</PartyTypeName>
        <ProceedingType>בית משפט</ProceedingType>
        <PleaName>כתב בקשה</PleaName>
        <PartyBelonging> - </PartyBelonging>
        <RoleName>עד בית משפט 0</RoleName>
        <IsSubProceeding>FALSE</IsSubProceeding>
        <FullName>רונן אשורי</FullName>
        <FirstName>רונן</FirstName>
        <LastName>אשורי</LastName>
        <PartyPropertyName/>
        <AuthenticationTypeAndNumber>ת"ז </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241758305</CasePartyID>
        <PartyTypeID>4</PartyTypeID>
        <ActivityStatusID>1</ActivityStatusID>
        <PartyAliasID>101</PartyAliasID>
        <PartyAliasName>עד בית משפט</PartyAliasName>
        <OrdinalNumber>0</OrdinalNumber>
        <LegalEntityID>80532790</LegalEntityID>
        <CaseLegalEntityID>119993979</CaseLegalEntityID>
        <AuthenticationTypeID>1</AuthenticationTypeID>
        <AuthenticationTypeName>ת"ז</AuthenticationTypeName>
        <IsMainPartyType>true</IsMainPartyType>
        <CaseDisplayIdentifier>50966-06-21</CaseDisplayIdentifier>
        <CaseTypeID>86</CaseTypeID>
        <CaseTypeName>תיק עזבונות (ת"ע)</CaseTypeName>
        <CaseName>קונונקו נ' האפוטרופוס הכללי במחוז תל-אביב ואח'</CaseName>
        <FullAddress>.</FullAddress>
        <MotionID>0</MotionID>
        <CasePleaID>0</CasePleaID>
        <LinkedCaseID>0</LinkedCaseID>
        <CasePartyCategoryID>1</CasePartyCategoryID>
        <LegalEntityAddressID>86576328</LegalEntityAddressID>
        <PleaTypeID>5</PleaTypeID>
        <GroupPartyAlias/>
        <IsConverted>false</IsConverted>
        <LegalEntityNameID>93194706</LegalEntityNameID>
        <RepresentatedNamesOfAssistant/>
        <LegalEntityTypeID>1</LegalEntityTypeID>
        <IsVerdictExists>false</IsVerdictExists>
        <IsAsirAzir>false</IsAsirAzir>
        <IsPublicationProhibited>false</IsPublicationProhibited>
        <PublicationProhibitedFullName>רונן אשורי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נטליה קונונקו</FullName>
        <FirstName>נטליה</FirstName>
        <LastName>קונוננקו</LastName>
        <PartyPropertyName/>
        <AuthenticationTypeAndNumber>ת"ז 316926435</AuthenticationTypeAndNumber>
        <RepresentatedOrRepresentativesNames>יעקב זיו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228128078</CasePartyID>
        <PartyTypeID>1</PartyTypeID>
        <ActivityStatusID>1</ActivityStatusID>
        <PartyAliasID>3</PartyAliasID>
        <PartyAliasName>מבקש</PartyAliasName>
        <OrdinalNumber>1</OrdinalNumber>
        <LegalEntityID>22160616</LegalEntityID>
        <CaseLegalEntityID>115800521</CaseLegalEntityID>
        <AuthenticationTypeID>1</AuthenticationTypeID>
        <AuthenticationTypeName>ת"ז</AuthenticationTypeName>
        <LegalEntityNumber>316926435</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ההגנה 47 הרצלייה </FullAddress>
        <MotionID>0</MotionID>
        <CasePleaID>0</CasePleaID>
        <FatherName>ולדימיר</FatherName>
        <LinkedCaseID>0</LinkedCaseID>
        <PartyID>1</PartyID>
        <CasePartyCategoryID>2</CasePartyCategoryID>
        <LegalEntityAddressID>58691024</LegalEntityAddressID>
        <FictitiousPoliceNumber/>
        <PleaTypeID>5</PleaTypeID>
        <GroupPartyAlias>מבקשים</GroupPartyAlias>
        <IsConverted>false</IsConverted>
        <LegalEntityRegisteredNameID>9426254</LegalEntityRegisteredNameID>
        <LegalEntityNameID>91571260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קונונקו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228128080</CasePartyID>
        <PartyTypeID>1</PartyTypeID>
        <ActivityStatusID>1</ActivityStatusID>
        <PartyAliasID>4</PartyAliasID>
        <PartyAliasName>משיב</PartyAliasName>
        <OrdinalNumber>1</OrdinalNumber>
        <LegalEntityID>6761</LegalEntityID>
        <CaseLegalEntityID>115800523</CaseLegalEntityID>
        <AuthenticationTypeID>13</AuthenticationTypeID>
        <AuthenticationTypeName>משרדי ממשלה</AuthenticationTypeName>
        <LegalEntityNumber>999010</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יפית שלו</FullName>
        <FirstName>יפית</FirstName>
        <LastName>שלו</LastName>
        <PartyPropertyName/>
        <AuthenticationTypeAndNumber>ת"ז 034440438</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228128081</CasePartyID>
        <PartyTypeID>1</PartyTypeID>
        <ActivityStatusID>1</ActivityStatusID>
        <PartyAliasID>4</PartyAliasID>
        <PartyAliasName>משיב</PartyAliasName>
        <OrdinalNumber>2</OrdinalNumber>
        <LegalEntityID>73142123</LegalEntityID>
        <CaseLegalEntityID>115800524</CaseLegalEntityID>
        <AuthenticationTypeID>1</AuthenticationTypeID>
        <AuthenticationTypeName>ת"ז</AuthenticationTypeName>
        <LegalEntityNumber>034440438</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85329960</LegalEntityAddressID>
        <PleaTypeID>5</PleaTypeID>
        <GroupPartyAlias>משיבים</GroupPartyAlias>
        <IsConverted>false</IsConverted>
        <LegalEntityRegisteredNameID>4161722</LegalEntityRegisteredNameID>
        <LegalEntityNameID>91571261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יפית שלו</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תומר שלו</FullName>
        <FirstName>תומר</FirstName>
        <LastName>שלו</LastName>
        <PartyPropertyName/>
        <AuthenticationTypeAndNumber>ת"ז 040658114</AuthenticationTypeAndNumber>
        <RepresentatedOrRepresentativesNames>רומי קנבל</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228128125</CasePartyID>
        <PartyTypeID>1</PartyTypeID>
        <ActivityStatusID>1</ActivityStatusID>
        <PartyAliasID>4</PartyAliasID>
        <PartyAliasName>משיב</PartyAliasName>
        <OrdinalNumber>3</OrdinalNumber>
        <LegalEntityID>22023849</LegalEntityID>
        <CaseLegalEntityID>115800539</CaseLegalEntityID>
        <AuthenticationTypeID>1</AuthenticationTypeID>
        <AuthenticationTypeName>ת"ז</AuthenticationTypeName>
        <LegalEntityNumber>040658114</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85329965</LegalEntityAddressID>
        <PleaTypeID>5</PleaTypeID>
        <GroupPartyAlias>משיבים</GroupPartyAlias>
        <IsConverted>false</IsConverted>
        <LegalEntityRegisteredNameID>7331053</LegalEntityRegisteredNameID>
        <LegalEntityNameID>91571266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שלו</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נטלי שטרית</FullName>
        <FirstName>נטלי</FirstName>
        <LastName>שטרית</LastName>
        <PartyPropertyName/>
        <AuthenticationTypeAndNumber>ת"ז 300731619</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228128142</CasePartyID>
        <PartyTypeID>1</PartyTypeID>
        <ActivityStatusID>1</ActivityStatusID>
        <PartyAliasID>4</PartyAliasID>
        <PartyAliasName>משיב</PartyAliasName>
        <OrdinalNumber>4</OrdinalNumber>
        <LegalEntityID>22128755</LegalEntityID>
        <CaseLegalEntityID>115800549</CaseLegalEntityID>
        <AuthenticationTypeID>1</AuthenticationTypeID>
        <AuthenticationTypeName>ת"ז</AuthenticationTypeName>
        <LegalEntityNumber>300731619</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85329968</LegalEntityAddressID>
        <PleaTypeID>5</PleaTypeID>
        <GroupPartyAlias>משיבים</GroupPartyAlias>
        <IsConverted>false</IsConverted>
        <LegalEntityRegisteredNameID>9426255</LegalEntityRegisteredNameID>
        <LegalEntityNameID>91571269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שטרית</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2024-06-19T14:18:51.5861612+03:00</DecisionSignatureDate>
    <OpenCaseDate>2021-06-22T07:00:00+03:00</OpenCaseDate>
    <CaseFeeSum>0.000</CaseFeeSum>
    <ExternalCaseNumber>314669_3</ExternalCaseNumber>
    <DecisionTypeID>2</DecisionTypeID>
    <DecisionSignatureUserName>יהורם שקד</DecisionSignatureUserName>
    <DecisionSignatureDateHebrew>2024-06-19T14:18:51.5861612+03:00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InMatterOfDescription>המנוח</InMatterOfDescription>
    <CaseName>קונונקו נ' האפוטרופוס הכללי במחוז תל-אביב ואח'</CaseName>
    <DecisionNumberInCase>11</DecisionNumberInCase>
  </dt_Decision>
  <dt_DecisionCase>
    <DecisionID>0</DecisionID>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מומחה</PartyTypeName>
        <ProceedingType>בית משפט</ProceedingType>
        <PleaName>כתב בקשה</PleaName>
        <PartyBelonging> - </PartyBelonging>
        <RoleName>מומחה בית משפט </RoleName>
        <IsSubProceeding>FALSE</IsSubProceeding>
        <FullName>אליעזר פלדינגר</FullName>
        <FirstName>אליעזר</FirstName>
        <LastName>פלדינגר</LastName>
        <PartyPropertyName/>
        <AuthenticationTypeAndNumber>ת"ז 067437830</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237475915</CasePartyID>
        <PartyTypeID>5</PartyTypeID>
        <ActivityStatusID>1</ActivityStatusID>
        <PartyAliasID>102</PartyAliasID>
        <PartyAliasName>מומחה בית משפט</PartyAliasName>
        <LegalEntityID>71174565</LegalEntityID>
        <CaseLegalEntityID>118697286</CaseLegalEntityID>
        <AuthenticationTypeID>1</AuthenticationTypeID>
        <AuthenticationTypeName>ת"ז</AuthenticationTypeName>
        <LegalEntityNumber>067437830</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קשאני 3 תל אביב -יפו </FullAddress>
        <EmailAddress>Lfledinger@walla.com</EmailAddress>
        <MotionID>0</MotionID>
        <CasePleaID>0</CasePleaID>
        <LinkedCaseID>0</LinkedCaseID>
        <CasePartyCategoryID>1</CasePartyCategoryID>
        <LegalEntityAddressID>72715331</LegalEntityAddressID>
        <LegalEntityEmailAddressID>68120530</LegalEntityEmailAddressID>
        <PleaTypeID>5</PleaTypeID>
        <GroupPartyAlias/>
        <IsConverted>false</IsConverted>
        <LegalEntityNameID>74139759</LegalEntityNameID>
        <RepresentatedNamesOfAssistant/>
        <LegalEntityTypeID>6</LegalEntityTypeID>
        <IsVerdictExists>false</IsVerdictExists>
        <IsAsirAzir>false</IsAsirAzir>
        <IsPublicationProhibited>false</IsPublicationProhibited>
        <PublicationProhibitedFullName>אליעזר פלדינגר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יעקב זיו</FullName>
        <FirstName>יעקב</FirstName>
        <LastName>זיו</LastName>
        <PartyPropertyName/>
        <AuthenticationTypeAndNumber>מ.ר. 42591</AuthenticationTypeAndNumber>
        <RepresentatedOrRepresentativesNames>נטליה קונונקו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238724903</CasePartyID>
        <PartyTypeID>2</PartyTypeID>
        <ActivityStatusID>1</ActivityStatusID>
        <PartyAliasID>22</PartyAliasID>
        <PartyAliasName>בא כוח מבקשים</PartyAliasName>
        <LegalEntityID>2468723</LegalEntityID>
        <CaseLegalEntityID>119069501</CaseLegalEntityID>
        <AuthenticationTypeID>4</AuthenticationTypeID>
        <AuthenticationTypeName>מ.ר.</AuthenticationTypeName>
        <LegalEntityNumber>42591</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נחלת יצחק 8 רמת גן </FullAddress>
        <MotionID>0</MotionID>
        <CasePleaID>0</CasePleaID>
        <LinkedCaseID>0</LinkedCaseID>
        <PartyID>1</PartyID>
        <CasePartyCategoryID>2</CasePartyCategoryID>
        <LegalEntityAddressID>78201491</LegalEntityAddressID>
        <PleaTypeID>5</PleaTypeID>
        <LawyerOfficeName>משרד עו"ד רונן אשרי</LawyerOfficeName>
        <LawyerOfficeID>2468728</LawyerOfficeID>
        <GroupPartyAlias/>
        <IsConverted>false</IsConverted>
        <LegalEntityNameID>2098969</LegalEntityNameID>
        <RepresentatedNamesOfAssistant/>
        <LegalEntityTypeID>4</LegalEntityTypeID>
        <IsVerdictExists>false</IsVerdictExists>
        <IsAsirAzir>false</IsAsirAzir>
        <IsPublicationProhibited>false</IsPublicationProhibited>
        <PublicationProhibitedFullName>יעקב זיו</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רומי קנבל</FullName>
        <FirstName>רומי</FirstName>
        <LastName>קנבל</LastName>
        <PartyPropertyName/>
        <AuthenticationTypeAndNumber>מ.ר. 23729</AuthenticationTypeAndNumber>
        <RepresentatedOrRepresentativesNames>תומר שלו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228269169</CasePartyID>
        <PartyTypeID>2</PartyTypeID>
        <ActivityStatusID>1</ActivityStatusID>
        <PartyAliasID>23</PartyAliasID>
        <PartyAliasName>בא כוח משיבים</PartyAliasName>
        <LegalEntityID>399741</LegalEntityID>
        <CaseLegalEntityID>115843241</CaseLegalEntityID>
        <AuthenticationTypeID>4</AuthenticationTypeID>
        <AuthenticationTypeName>מ.ר.</AuthenticationTypeName>
        <LegalEntityNumber>23729</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
        <EmailAddress>liat@knebel-adv.com</EmailAddress>
        <MotionID>0</MotionID>
        <CasePleaID>0</CasePleaID>
        <FatherName xml:space="preserve">        </FatherName>
        <LinkedCaseID>0</LinkedCaseID>
        <PartyID>2</PartyID>
        <CasePartyCategoryID>2</CasePartyCategoryID>
        <LegalEntityEmailAddressID>68371733</LegalEntityEmailAddressID>
        <PleaTypeID>5</PleaTypeID>
        <LawyerOfficeName>משרד עו"ד:קנבל ושות'</LawyerOfficeName>
        <LawyerOfficeID>428432</LawyerOfficeID>
        <GroupPartyAlias/>
        <IsConverted>false</IsConverted>
        <LegalEntityNameID>20725</LegalEntityNameID>
        <RepresentatedNamesOfAssistant/>
        <LegalEntityTypeID>4</LegalEntityTypeID>
        <IsVerdictExists>false</IsVerdictExists>
        <IsAsirAzir>false</IsAsirAzir>
        <IsPublicationProhibited>false</IsPublicationProhibited>
        <PublicationProhibitedFullName>רומי קנבל</PublicationProhibitedFullName>
      </CaseParties>
      <CaseParties>
        <PartyTypeName>עד</PartyTypeName>
        <ProceedingType>בית משפט</ProceedingType>
        <PleaName>כתב בקשה</PleaName>
        <PartyBelonging> - </PartyBelonging>
        <RoleName>עד בית משפט 0</RoleName>
        <IsSubProceeding>FALSE</IsSubProceeding>
        <FullName>רונן אשורי</FullName>
        <FirstName>רונן</FirstName>
        <LastName>אשורי</LastName>
        <PartyPropertyName/>
        <AuthenticationTypeAndNumber>ת"ז </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241758305</CasePartyID>
        <PartyTypeID>4</PartyTypeID>
        <ActivityStatusID>1</ActivityStatusID>
        <PartyAliasID>101</PartyAliasID>
        <PartyAliasName>עד בית משפט</PartyAliasName>
        <OrdinalNumber>0</OrdinalNumber>
        <LegalEntityID>80532790</LegalEntityID>
        <CaseLegalEntityID>119993979</CaseLegalEntityID>
        <AuthenticationTypeID>1</AuthenticationTypeID>
        <AuthenticationTypeName>ת"ז</AuthenticationTypeName>
        <IsMainPartyType>true</IsMainPartyType>
        <CaseDisplayIdentifier>50966-06-21</CaseDisplayIdentifier>
        <CaseTypeID>86</CaseTypeID>
        <CaseTypeName>תיק עזבונות (ת"ע)</CaseTypeName>
        <CaseName>קונונקו נ' האפוטרופוס הכללי במחוז תל-אביב ואח'</CaseName>
        <FullAddress>.</FullAddress>
        <MotionID>0</MotionID>
        <CasePleaID>0</CasePleaID>
        <LinkedCaseID>0</LinkedCaseID>
        <CasePartyCategoryID>1</CasePartyCategoryID>
        <LegalEntityAddressID>86576328</LegalEntityAddressID>
        <PleaTypeID>5</PleaTypeID>
        <GroupPartyAlias/>
        <IsConverted>false</IsConverted>
        <LegalEntityNameID>93194706</LegalEntityNameID>
        <RepresentatedNamesOfAssistant/>
        <LegalEntityTypeID>1</LegalEntityTypeID>
        <IsVerdictExists>false</IsVerdictExists>
        <IsAsirAzir>false</IsAsirAzir>
        <IsPublicationProhibited>false</IsPublicationProhibited>
        <PublicationProhibitedFullName>רונן אשורי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נטליה קונונקו</FullName>
        <FirstName>נטליה</FirstName>
        <LastName>קונוננקו</LastName>
        <PartyPropertyName/>
        <AuthenticationTypeAndNumber>ת"ז 316926435</AuthenticationTypeAndNumber>
        <RepresentatedOrRepresentativesNames>יעקב זיו</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228128078</CasePartyID>
        <PartyTypeID>1</PartyTypeID>
        <ActivityStatusID>1</ActivityStatusID>
        <PartyAliasID>3</PartyAliasID>
        <PartyAliasName>מבקש</PartyAliasName>
        <OrdinalNumber>1</OrdinalNumber>
        <LegalEntityID>22160616</LegalEntityID>
        <CaseLegalEntityID>115800521</CaseLegalEntityID>
        <AuthenticationTypeID>1</AuthenticationTypeID>
        <AuthenticationTypeName>ת"ז</AuthenticationTypeName>
        <LegalEntityNumber>316926435</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ההגנה 47 הרצלייה </FullAddress>
        <MotionID>0</MotionID>
        <CasePleaID>0</CasePleaID>
        <FatherName>ולדימיר</FatherName>
        <LinkedCaseID>0</LinkedCaseID>
        <PartyID>1</PartyID>
        <CasePartyCategoryID>2</CasePartyCategoryID>
        <LegalEntityAddressID>58691024</LegalEntityAddressID>
        <FictitiousPoliceNumber/>
        <PleaTypeID>5</PleaTypeID>
        <GroupPartyAlias>מבקשים</GroupPartyAlias>
        <IsConverted>false</IsConverted>
        <LegalEntityRegisteredNameID>9426254</LegalEntityRegisteredNameID>
        <LegalEntityNameID>91571260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נטליה קונונקו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228128080</CasePartyID>
        <PartyTypeID>1</PartyTypeID>
        <ActivityStatusID>1</ActivityStatusID>
        <PartyAliasID>4</PartyAliasID>
        <PartyAliasName>משיב</PartyAliasName>
        <OrdinalNumber>1</OrdinalNumber>
        <LegalEntityID>6761</LegalEntityID>
        <CaseLegalEntityID>115800523</CaseLegalEntityID>
        <AuthenticationTypeID>13</AuthenticationTypeID>
        <AuthenticationTypeName>משרדי ממשלה</AuthenticationTypeName>
        <LegalEntityNumber>999010</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יפית שלו</FullName>
        <FirstName>יפית</FirstName>
        <LastName>שלו</LastName>
        <PartyPropertyName/>
        <AuthenticationTypeAndNumber>ת"ז 034440438</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228128081</CasePartyID>
        <PartyTypeID>1</PartyTypeID>
        <ActivityStatusID>1</ActivityStatusID>
        <PartyAliasID>4</PartyAliasID>
        <PartyAliasName>משיב</PartyAliasName>
        <OrdinalNumber>2</OrdinalNumber>
        <LegalEntityID>73142123</LegalEntityID>
        <CaseLegalEntityID>115800524</CaseLegalEntityID>
        <AuthenticationTypeID>1</AuthenticationTypeID>
        <AuthenticationTypeName>ת"ז</AuthenticationTypeName>
        <LegalEntityNumber>034440438</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85329960</LegalEntityAddressID>
        <PleaTypeID>5</PleaTypeID>
        <GroupPartyAlias>משיבים</GroupPartyAlias>
        <IsConverted>false</IsConverted>
        <LegalEntityRegisteredNameID>4161722</LegalEntityRegisteredNameID>
        <LegalEntityNameID>91571261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יפית שלו</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תומר שלו</FullName>
        <FirstName>תומר</FirstName>
        <LastName>שלו</LastName>
        <PartyPropertyName/>
        <AuthenticationTypeAndNumber>ת"ז 040658114</AuthenticationTypeAndNumber>
        <RepresentatedOrRepresentativesNames>רומי קנבל</RepresentatedOrRepresentativesNames>
        <RepresentatedOrRepresentativesCount>1</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228128125</CasePartyID>
        <PartyTypeID>1</PartyTypeID>
        <ActivityStatusID>1</ActivityStatusID>
        <PartyAliasID>4</PartyAliasID>
        <PartyAliasName>משיב</PartyAliasName>
        <OrdinalNumber>3</OrdinalNumber>
        <LegalEntityID>22023849</LegalEntityID>
        <CaseLegalEntityID>115800539</CaseLegalEntityID>
        <AuthenticationTypeID>1</AuthenticationTypeID>
        <AuthenticationTypeName>ת"ז</AuthenticationTypeName>
        <LegalEntityNumber>040658114</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85329965</LegalEntityAddressID>
        <PleaTypeID>5</PleaTypeID>
        <GroupPartyAlias>משיבים</GroupPartyAlias>
        <IsConverted>false</IsConverted>
        <LegalEntityRegisteredNameID>7331053</LegalEntityRegisteredNameID>
        <LegalEntityNameID>91571266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שלו</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נטלי שטרית</FullName>
        <FirstName>נטלי</FirstName>
        <LastName>שטרית</LastName>
        <PartyPropertyName/>
        <AuthenticationTypeAndNumber>ת"ז 300731619</AuthenticationTypeAndNumber>
        <RepresentatedOrRepresentativesNames/>
        <RepresentatedOrRepresentativesCount>0</RepresentatedOrRepresentativesCount>
        <InvitedBy/>
        <CaseID>78436410</CaseID>
        <CaseJudicialPersonPresentationDS>
          <CaseJudicalPersonActive>
            <CaseID>78436410</CaseID>
            <JudicialPersonID>024693871@GOV.IL</JudicialPersonID>
            <JudicialPersonTypeID>1</JudicialPersonTypeID>
            <JudicialTypeID>1</JudicialTypeID>
            <IsChairman>false</IsChairman>
            <TreatmentStartDate>2021-06-22T17:00:41.997+03:00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228128142</CasePartyID>
        <PartyTypeID>1</PartyTypeID>
        <ActivityStatusID>1</ActivityStatusID>
        <PartyAliasID>4</PartyAliasID>
        <PartyAliasName>משיב</PartyAliasName>
        <OrdinalNumber>4</OrdinalNumber>
        <LegalEntityID>22128755</LegalEntityID>
        <CaseLegalEntityID>115800549</CaseLegalEntityID>
        <AuthenticationTypeID>1</AuthenticationTypeID>
        <AuthenticationTypeName>ת"ז</AuthenticationTypeName>
        <LegalEntityNumber>300731619</LegalEntityNumber>
        <IsMainPartyType>true</IsMainPartyType>
        <CaseDisplayIdentifier>50966-06-21</CaseDisplayIdentifier>
        <CaseTypeID>86</CaseTypeID>
        <CaseTypeName>תיק עזבונות (ת"ע)</CaseTypeName>
        <CaseName>קונונקו נ' האפוטרופוס הכללי במחוז תל-אביב ואח'</CaseName>
        <FullAddress>לאה גולדבר 6 הרצלייה </FullAddress>
        <MotionID>0</MotionID>
        <CasePleaID>0</CasePleaID>
        <FatherName>יצחק</FatherName>
        <LinkedCaseID>0</LinkedCaseID>
        <PartyID>2</PartyID>
        <CasePartyCategoryID>2</CasePartyCategoryID>
        <LegalEntityAddressID>85329968</LegalEntityAddressID>
        <PleaTypeID>5</PleaTypeID>
        <GroupPartyAlias>משיבים</GroupPartyAlias>
        <IsConverted>false</IsConverted>
        <LegalEntityRegisteredNameID>9426255</LegalEntityRegisteredNameID>
        <LegalEntityNameID>91571269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נטלי שטרית</PublicationProhibitedFullName>
      </CaseParties>
    </CasePartiesSelectionDS>
    <CaseName>קונונקו נ' האפוטרופוס הכללי במחוז תל-אביב ואח'</CaseName>
    <CaseDisplayIdentifier>50966-06-21</CaseDisplayIdentifier>
    <CaseInterestID>10298</CaseInterestID>
    <CaseTypeShortName>ת"ע</CaseTypeShortName>
  </dt_DecisionCase>
  <dt_DecisionJudgePanel>
    <JudgeID>024693871@GOV.IL</JudgeID>
    <DisplayName>יהורם שקד</DisplayName>
    <RoleName>שופט</RoleName>
    <UserTitleName>שופט, סגן הנשיאה</UserTitleName>
  </dt_DecisionJudgePanel>
  <dt_LegalEntityDetails>
    <PartyID>2</PartyID>
    <PartyTypeID>2</PartyTypeID>
    <DecisionID>0</DecisionID>
    <FullName>רומי קנבל</FullName>
    <Email>liat@knebel-adv.com</Email>
    <IsPublicationProhibited>false</IsPublicationProhibited>
  </dt_LegalEntityDetails>
  <dt_LegalEntityDetails>
    <Fax>03-6973706</Fax>
    <PartyTypeID>5</PartyTypeID>
    <DecisionID>0</DecisionID>
    <StreetName>קשאני 3</StreetName>
    <CityName>תל אביב -יפו</CityName>
    <FullName>אליעזר פלדינגר</FullName>
    <Position>1</Position>
    <Email>Lfledinger@walla.com</Email>
    <IsPublicationProhibited>false</IsPublicationProhibited>
  </dt_LegalEntityDetails>
  <dt_LegalEntityDetails>
    <Fax>077-4014009</Fax>
    <Phone>077-4014006</Phone>
    <PartyID>1</PartyID>
    <PartyTypeID>2</PartyTypeID>
    <DecisionID>0</DecisionID>
    <StreetName>נחלת יצחק 8</StreetName>
    <ZipCode>6744806</ZipCode>
    <CityName>רמת גן</CityName>
    <FullName>יעקב זיו</FullName>
    <Email>ronen.gov@gmail.com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ההגנה 47</StreetName>
    <CityName>הרצלייה</CityName>
    <FullName>נטליה קונונקו</FullName>
    <Email>lawmiozo@gmail.com</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StreetName>לאה גולדבר 6</StreetName>
    <CityName>הרצלייה</CityName>
    <FullName>יפית שלו</FullName>
    <IsPublicationProhibited>false</IsPublicationProhibited>
  </dt_LegalEntityDetails>
  <dt_LegalEntityDetails>
    <PartyID>2</PartyID>
    <PartyTypeID>1</PartyTypeID>
    <DecisionID>0</DecisionID>
    <StreetName>לאה גולדבר 6</StreetName>
    <CityName>הרצלייה</CityName>
    <FullName>תומר שלו</FullName>
    <IsPublicationProhibited>false</IsPublicationProhibited>
  </dt_LegalEntityDetails>
  <dt_LegalEntityDetails>
    <PartyID>2</PartyID>
    <PartyTypeID>1</PartyTypeID>
    <DecisionID>0</DecisionID>
    <StreetName>לאה גולדבר 6</StreetName>
    <CityName>הרצלייה</CityName>
    <FullName>נטלי שטרית</FullName>
    <IsPublicationProhibited>false</IsPublicationProhibited>
  </dt_LegalEntityDetails>
  <dt_CaseJudicalPersonActive>
    <CaseJudicalPerson>שופט, סגן הנשיאה יהורם שקד</CaseJudicalPerson>
  </dt_CaseJudicalPersonActive>
  <dt_Sitting>
    <PreviousMeetingDate>2022-08-31T11:00:00+03:00</PreviousMeetingDate>
    <PreviousSittingTypeID>2</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t_InMatterOfCase>
    <InMatterOfCaseID>73393</InMatterOfCaseID>
    <AuthenticationTypeID>1</AuthenticationTypeID>
    <AuthenticationNumber>052203973</AuthenticationNumber>
    <FirstName>יצחק</FirstName>
    <LastName>שלו</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8CC5-74D5-452C-B1FD-2B146AE74105}">
  <ds:schemaRefs/>
</ds:datastoreItem>
</file>

<file path=customXml/itemProps2.xml><?xml version="1.0" encoding="utf-8"?>
<ds:datastoreItem xmlns:ds="http://schemas.openxmlformats.org/officeDocument/2006/customXml" ds:itemID="{530FE1FD-4E55-4896-8227-EB15118C0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4576</Words>
  <Characters>22882</Characters>
  <Application>Microsoft Office Word</Application>
  <DocSecurity>0</DocSecurity>
  <Lines>190</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2024-06-30T06:47:00Z</dcterms:created>
  <dcterms:modified xsi:type="dcterms:W3CDTF">2024-06-30T06:47:00Z</dcterms:modified>
</cp:coreProperties>
</file>